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Министерство культуры Российской Федерации</w:t>
      </w:r>
    </w:p>
    <w:p w:rsidR="00D24550" w:rsidRDefault="00D24550" w:rsidP="00D24550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Федеральное государственное бюджетное</w:t>
      </w: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научно-исследовательское учреждение</w:t>
      </w: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</w:p>
    <w:p w:rsidR="00D24550" w:rsidRDefault="00D24550" w:rsidP="00D2455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A0613B">
        <w:rPr>
          <w:rFonts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  <w:r w:rsidRPr="005D6879">
        <w:rPr>
          <w:rFonts w:cs="Times New Roman"/>
          <w:sz w:val="28"/>
          <w:szCs w:val="28"/>
        </w:rPr>
        <w:t>»</w:t>
      </w: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Утверждаю: </w:t>
      </w: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Директор </w:t>
      </w: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</w:p>
    <w:p w:rsidR="00D24550" w:rsidRDefault="00D24550" w:rsidP="00D24550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____________ </w:t>
      </w:r>
      <w:r>
        <w:rPr>
          <w:rFonts w:cs="Times New Roman"/>
          <w:sz w:val="28"/>
          <w:szCs w:val="28"/>
        </w:rPr>
        <w:t>Аристархов В.В.</w:t>
      </w: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«____» __________ 201</w:t>
      </w:r>
      <w:r>
        <w:rPr>
          <w:rFonts w:cs="Times New Roman"/>
          <w:sz w:val="28"/>
          <w:szCs w:val="28"/>
        </w:rPr>
        <w:t>9</w:t>
      </w:r>
      <w:r w:rsidRPr="005D6879">
        <w:rPr>
          <w:rFonts w:cs="Times New Roman"/>
          <w:sz w:val="28"/>
          <w:szCs w:val="28"/>
        </w:rPr>
        <w:t xml:space="preserve"> г. </w:t>
      </w:r>
    </w:p>
    <w:p w:rsidR="00D24550" w:rsidRPr="005D6879" w:rsidRDefault="00D24550" w:rsidP="00D24550">
      <w:pPr>
        <w:jc w:val="right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E27C05" w:rsidRDefault="00D24550" w:rsidP="00D24550">
      <w:pPr>
        <w:jc w:val="center"/>
        <w:rPr>
          <w:rFonts w:cs="Times New Roman"/>
          <w:b/>
          <w:sz w:val="28"/>
          <w:szCs w:val="28"/>
        </w:rPr>
      </w:pPr>
      <w:r w:rsidRPr="00E27C05">
        <w:rPr>
          <w:rFonts w:cs="Times New Roman"/>
          <w:b/>
          <w:sz w:val="28"/>
          <w:szCs w:val="28"/>
        </w:rPr>
        <w:t>ФОНД ОЦЕНОЧНЫХ СРЕДСТ</w:t>
      </w:r>
      <w:r w:rsidR="00B43BDE">
        <w:rPr>
          <w:rFonts w:cs="Times New Roman"/>
          <w:b/>
          <w:sz w:val="28"/>
          <w:szCs w:val="28"/>
        </w:rPr>
        <w:t>В</w:t>
      </w:r>
      <w:bookmarkStart w:id="0" w:name="_GoBack"/>
      <w:bookmarkEnd w:id="0"/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</w:p>
    <w:p w:rsidR="00D24550" w:rsidRPr="00F50D98" w:rsidRDefault="00D24550" w:rsidP="00D2455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24550" w:rsidRDefault="00D24550" w:rsidP="00D24550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50D98">
        <w:rPr>
          <w:rFonts w:eastAsia="Times New Roman" w:cs="Times New Roman"/>
          <w:b/>
          <w:bCs/>
          <w:sz w:val="28"/>
          <w:szCs w:val="28"/>
        </w:rPr>
        <w:t>ДОПОЛНИТЕЛЬНАЯ ПРОФЕССИОНАЛЬНАЯ ПРОГРАММА ПОВЫШЕНИЯ КВАЛИФИКАЦИИ СПЕЦИАЛИСТОВ</w:t>
      </w:r>
    </w:p>
    <w:p w:rsidR="00D24550" w:rsidRPr="00F50D98" w:rsidRDefault="00D24550" w:rsidP="00D2455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24550" w:rsidRPr="00F50D98" w:rsidRDefault="00D24550" w:rsidP="00D24550">
      <w:pPr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F50D98">
        <w:rPr>
          <w:rFonts w:eastAsia="Times New Roman" w:cs="Times New Roman"/>
          <w:b/>
          <w:bCs/>
          <w:sz w:val="28"/>
          <w:szCs w:val="28"/>
          <w:u w:val="single"/>
        </w:rPr>
        <w:t>«</w:t>
      </w:r>
      <w:r w:rsidRPr="00123125">
        <w:rPr>
          <w:rFonts w:eastAsia="Times New Roman" w:cs="Times New Roman"/>
          <w:b/>
          <w:bCs/>
          <w:sz w:val="28"/>
          <w:szCs w:val="28"/>
          <w:u w:val="single"/>
        </w:rPr>
        <w:t>Подводное культурное наследие</w:t>
      </w:r>
      <w:r w:rsidRPr="00F50D98">
        <w:rPr>
          <w:rFonts w:eastAsia="Times New Roman" w:cs="Times New Roman"/>
          <w:b/>
          <w:bCs/>
          <w:sz w:val="28"/>
          <w:szCs w:val="28"/>
          <w:u w:val="single"/>
        </w:rPr>
        <w:t>»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D24550" w:rsidRPr="005D6879" w:rsidRDefault="00D24550" w:rsidP="00D24550">
      <w:pPr>
        <w:rPr>
          <w:rFonts w:cs="Times New Roman"/>
          <w:sz w:val="28"/>
          <w:szCs w:val="28"/>
        </w:rPr>
      </w:pPr>
    </w:p>
    <w:p w:rsidR="00D24550" w:rsidRPr="005D6879" w:rsidRDefault="00D24550" w:rsidP="00D24550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Москва 201</w:t>
      </w:r>
      <w:r>
        <w:rPr>
          <w:rFonts w:cs="Times New Roman"/>
          <w:sz w:val="28"/>
          <w:szCs w:val="28"/>
        </w:rPr>
        <w:t>9</w:t>
      </w:r>
    </w:p>
    <w:p w:rsidR="00D24550" w:rsidRDefault="00D24550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br w:type="page"/>
      </w:r>
    </w:p>
    <w:p w:rsidR="00D24550" w:rsidRDefault="00D24550" w:rsidP="00D24550">
      <w:pPr>
        <w:jc w:val="both"/>
        <w:rPr>
          <w:rFonts w:eastAsia="Times New Roman" w:cs="Times New Roman"/>
          <w:sz w:val="28"/>
          <w:szCs w:val="28"/>
        </w:rPr>
      </w:pPr>
      <w:r w:rsidRPr="00E27C05">
        <w:rPr>
          <w:rFonts w:eastAsia="Times New Roman" w:cs="Times New Roman"/>
          <w:bCs/>
          <w:sz w:val="28"/>
          <w:szCs w:val="28"/>
        </w:rPr>
        <w:lastRenderedPageBreak/>
        <w:t xml:space="preserve">Фонд оценочных средств </w:t>
      </w:r>
      <w:r w:rsidRPr="00E27C05">
        <w:rPr>
          <w:rFonts w:eastAsia="Times New Roman" w:cs="Times New Roman"/>
          <w:sz w:val="28"/>
          <w:szCs w:val="28"/>
        </w:rPr>
        <w:t xml:space="preserve">программы повышения квалификации </w:t>
      </w:r>
      <w:r w:rsidRPr="00C7009D">
        <w:rPr>
          <w:rFonts w:eastAsia="Times New Roman" w:cs="Times New Roman"/>
          <w:sz w:val="28"/>
          <w:szCs w:val="28"/>
        </w:rPr>
        <w:t xml:space="preserve">«Подводное культурное наследие» </w:t>
      </w:r>
      <w:r w:rsidRPr="00E27C05">
        <w:rPr>
          <w:rFonts w:eastAsia="Times New Roman" w:cs="Times New Roman"/>
          <w:sz w:val="28"/>
          <w:szCs w:val="28"/>
        </w:rPr>
        <w:t xml:space="preserve">разработан в соответствии с </w:t>
      </w:r>
      <w:r w:rsidRPr="00C7009D">
        <w:rPr>
          <w:rFonts w:eastAsia="Times New Roman" w:cs="Times New Roman"/>
          <w:sz w:val="28"/>
          <w:szCs w:val="28"/>
        </w:rPr>
        <w:t xml:space="preserve">требованиями ФГОС </w:t>
      </w:r>
      <w:proofErr w:type="gramStart"/>
      <w:r w:rsidRPr="00C7009D">
        <w:rPr>
          <w:rFonts w:eastAsia="Times New Roman" w:cs="Times New Roman"/>
          <w:sz w:val="28"/>
          <w:szCs w:val="28"/>
        </w:rPr>
        <w:t>ВО</w:t>
      </w:r>
      <w:proofErr w:type="gramEnd"/>
      <w:r w:rsidRPr="00C7009D">
        <w:rPr>
          <w:rFonts w:eastAsia="Times New Roman" w:cs="Times New Roman"/>
          <w:sz w:val="28"/>
          <w:szCs w:val="28"/>
        </w:rPr>
        <w:t>, основной профессиональной образовательной программе высшего образования - программ</w:t>
      </w:r>
      <w:r>
        <w:rPr>
          <w:rFonts w:eastAsia="Times New Roman" w:cs="Times New Roman"/>
          <w:sz w:val="28"/>
          <w:szCs w:val="28"/>
        </w:rPr>
        <w:t>е</w:t>
      </w:r>
      <w:r w:rsidRPr="00C700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009D">
        <w:rPr>
          <w:rFonts w:eastAsia="Times New Roman" w:cs="Times New Roman"/>
          <w:sz w:val="28"/>
          <w:szCs w:val="28"/>
        </w:rPr>
        <w:t>бакалавриата</w:t>
      </w:r>
      <w:proofErr w:type="spellEnd"/>
      <w:r w:rsidRPr="00C7009D">
        <w:rPr>
          <w:rFonts w:eastAsia="Times New Roman" w:cs="Times New Roman"/>
          <w:sz w:val="28"/>
          <w:szCs w:val="28"/>
        </w:rPr>
        <w:t xml:space="preserve"> по направлению подготовки </w:t>
      </w:r>
      <w:r w:rsidRPr="0006245C">
        <w:rPr>
          <w:rFonts w:eastAsia="Times New Roman" w:cs="Times New Roman"/>
          <w:sz w:val="28"/>
          <w:szCs w:val="28"/>
        </w:rPr>
        <w:t xml:space="preserve">46.03.01 «История», профиль «Археология» </w:t>
      </w:r>
      <w:r w:rsidRPr="001D503C">
        <w:rPr>
          <w:rFonts w:eastAsia="Times New Roman" w:cs="Times New Roman"/>
          <w:sz w:val="28"/>
          <w:szCs w:val="28"/>
        </w:rPr>
        <w:t xml:space="preserve"> </w:t>
      </w:r>
    </w:p>
    <w:p w:rsidR="00D24550" w:rsidRPr="00E27C05" w:rsidRDefault="00D24550" w:rsidP="00D24550">
      <w:pPr>
        <w:jc w:val="both"/>
        <w:rPr>
          <w:rFonts w:eastAsia="Times New Roman" w:cs="Times New Roman"/>
          <w:bCs/>
          <w:sz w:val="28"/>
          <w:szCs w:val="28"/>
        </w:rPr>
      </w:pPr>
    </w:p>
    <w:p w:rsidR="00D24550" w:rsidRPr="00E27C05" w:rsidRDefault="00627AD8" w:rsidP="00D24550">
      <w:p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Составитель</w:t>
      </w:r>
      <w:r w:rsidR="00D24550" w:rsidRPr="00E27C05">
        <w:rPr>
          <w:rFonts w:eastAsia="Times New Roman" w:cs="Times New Roman"/>
          <w:bCs/>
          <w:sz w:val="28"/>
          <w:szCs w:val="28"/>
        </w:rPr>
        <w:t>:</w:t>
      </w:r>
    </w:p>
    <w:p w:rsidR="00D24550" w:rsidRPr="00C7009D" w:rsidRDefault="00D24550" w:rsidP="00D24550">
      <w:pPr>
        <w:ind w:left="31" w:hanging="31"/>
        <w:rPr>
          <w:rFonts w:cs="Times New Roman"/>
          <w:sz w:val="28"/>
          <w:szCs w:val="28"/>
        </w:rPr>
      </w:pPr>
      <w:r w:rsidRPr="00C7009D">
        <w:rPr>
          <w:rFonts w:cs="Times New Roman"/>
          <w:sz w:val="28"/>
          <w:szCs w:val="28"/>
        </w:rPr>
        <w:t>Окороков Александр Васильевич, доктор исторических наук, заместитель директора по научной работе Российского Научно-исследовательского института культурного и природного наследия имени Д.С. Лихачёва.</w:t>
      </w:r>
    </w:p>
    <w:p w:rsidR="00D24550" w:rsidRPr="00C7009D" w:rsidRDefault="00D24550" w:rsidP="00D24550">
      <w:pPr>
        <w:ind w:left="31" w:hanging="31"/>
        <w:rPr>
          <w:rFonts w:eastAsia="Times New Roman" w:cs="Times New Roman"/>
          <w:bCs/>
          <w:sz w:val="28"/>
          <w:szCs w:val="28"/>
        </w:rPr>
      </w:pPr>
      <w:r w:rsidRPr="00C7009D">
        <w:rPr>
          <w:rFonts w:eastAsia="Times New Roman" w:cs="Times New Roman"/>
          <w:bCs/>
          <w:sz w:val="28"/>
          <w:szCs w:val="28"/>
        </w:rPr>
        <w:t xml:space="preserve"> </w:t>
      </w:r>
    </w:p>
    <w:tbl>
      <w:tblPr>
        <w:tblW w:w="9488" w:type="dxa"/>
        <w:jc w:val="center"/>
        <w:tblLook w:val="00A0" w:firstRow="1" w:lastRow="0" w:firstColumn="1" w:lastColumn="0" w:noHBand="0" w:noVBand="0"/>
      </w:tblPr>
      <w:tblGrid>
        <w:gridCol w:w="9488"/>
      </w:tblGrid>
      <w:tr w:rsidR="00D24550" w:rsidRPr="00C7009D" w:rsidTr="00E27C05">
        <w:trPr>
          <w:trHeight w:val="3101"/>
          <w:jc w:val="center"/>
        </w:trPr>
        <w:tc>
          <w:tcPr>
            <w:tcW w:w="9488" w:type="dxa"/>
          </w:tcPr>
          <w:p w:rsidR="00627AD8" w:rsidRDefault="00D24550" w:rsidP="00E27C05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bCs/>
                <w:sz w:val="28"/>
                <w:szCs w:val="28"/>
              </w:rPr>
              <w:t>Одобрен</w:t>
            </w:r>
            <w:proofErr w:type="gramEnd"/>
            <w:r w:rsidRPr="00C7009D">
              <w:rPr>
                <w:rFonts w:eastAsia="Times New Roman" w:cs="Times New Roman"/>
                <w:bCs/>
                <w:sz w:val="28"/>
                <w:szCs w:val="28"/>
              </w:rPr>
              <w:t xml:space="preserve"> на заседании </w:t>
            </w:r>
            <w:r w:rsidR="00182CBC">
              <w:rPr>
                <w:rFonts w:eastAsia="Times New Roman" w:cs="Times New Roman"/>
                <w:bCs/>
                <w:sz w:val="28"/>
                <w:szCs w:val="28"/>
              </w:rPr>
              <w:t>Центра подводного культурного наследия,</w:t>
            </w:r>
            <w:r w:rsidRPr="00C7009D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:rsidR="00D24550" w:rsidRPr="00C7009D" w:rsidRDefault="00D24550" w:rsidP="00E27C05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r w:rsidRPr="00C7009D">
              <w:rPr>
                <w:rFonts w:eastAsia="Times New Roman" w:cs="Times New Roman"/>
                <w:bCs/>
                <w:sz w:val="28"/>
                <w:szCs w:val="28"/>
              </w:rPr>
              <w:t xml:space="preserve">протокол № </w:t>
            </w:r>
            <w:r w:rsidR="00627AD8">
              <w:rPr>
                <w:rFonts w:eastAsia="Times New Roman" w:cs="Times New Roman"/>
                <w:bCs/>
                <w:sz w:val="28"/>
                <w:szCs w:val="28"/>
              </w:rPr>
              <w:t>_____</w:t>
            </w:r>
            <w:r w:rsidRPr="002371FA">
              <w:rPr>
                <w:rFonts w:eastAsia="Times New Roman" w:cs="Times New Roman"/>
                <w:bCs/>
                <w:sz w:val="28"/>
                <w:szCs w:val="28"/>
              </w:rPr>
              <w:t xml:space="preserve">от   </w:t>
            </w:r>
            <w:r w:rsidR="00627AD8">
              <w:rPr>
                <w:rFonts w:eastAsia="Times New Roman" w:cs="Times New Roman"/>
                <w:bCs/>
                <w:sz w:val="28"/>
                <w:szCs w:val="28"/>
              </w:rPr>
              <w:t>______________</w:t>
            </w:r>
            <w:r w:rsidRPr="002371FA">
              <w:rPr>
                <w:rFonts w:eastAsia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9</w:t>
            </w:r>
            <w:r w:rsidRPr="002371FA">
              <w:rPr>
                <w:rFonts w:eastAsia="Times New Roman" w:cs="Times New Roman"/>
                <w:bCs/>
                <w:sz w:val="28"/>
                <w:szCs w:val="28"/>
              </w:rPr>
              <w:t>г.</w:t>
            </w:r>
          </w:p>
          <w:p w:rsidR="00D24550" w:rsidRPr="00C7009D" w:rsidRDefault="00D24550" w:rsidP="00E27C05">
            <w:pPr>
              <w:ind w:left="1874" w:hanging="1874"/>
              <w:rPr>
                <w:rFonts w:eastAsia="Times New Roman" w:cs="Times New Roman"/>
                <w:sz w:val="28"/>
                <w:szCs w:val="28"/>
              </w:rPr>
            </w:pPr>
          </w:p>
          <w:p w:rsidR="00D24550" w:rsidRPr="00C7009D" w:rsidRDefault="00D24550" w:rsidP="00627AD8">
            <w:pPr>
              <w:ind w:left="1874" w:hanging="1874"/>
              <w:rPr>
                <w:rFonts w:eastAsia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</w:tbl>
    <w:p w:rsidR="00D24550" w:rsidRPr="00E27C05" w:rsidRDefault="00D24550" w:rsidP="00D24550">
      <w:pPr>
        <w:ind w:left="31" w:hanging="31"/>
        <w:rPr>
          <w:rFonts w:cs="Times New Roman"/>
          <w:sz w:val="28"/>
          <w:szCs w:val="28"/>
        </w:rPr>
      </w:pPr>
      <w:r w:rsidRPr="00E27C05">
        <w:rPr>
          <w:rFonts w:cs="Times New Roman"/>
          <w:sz w:val="28"/>
          <w:szCs w:val="28"/>
        </w:rPr>
        <w:t>Рецензент:</w:t>
      </w:r>
    </w:p>
    <w:p w:rsidR="00D24550" w:rsidRPr="00E27C05" w:rsidRDefault="00D24550" w:rsidP="00D24550">
      <w:pPr>
        <w:rPr>
          <w:rFonts w:cs="Times New Roman"/>
          <w:sz w:val="28"/>
          <w:szCs w:val="28"/>
        </w:rPr>
      </w:pPr>
      <w:r w:rsidRPr="00E27C05">
        <w:rPr>
          <w:rFonts w:cs="Times New Roman"/>
          <w:sz w:val="28"/>
          <w:szCs w:val="28"/>
        </w:rPr>
        <w:t xml:space="preserve">Дерябина Е.Д., кандидат культурологии, доцент, зав. отделом аспирантуры </w:t>
      </w:r>
    </w:p>
    <w:p w:rsidR="00D24550" w:rsidRPr="00B81761" w:rsidRDefault="00D24550" w:rsidP="00D24550">
      <w:pPr>
        <w:ind w:left="31" w:hanging="31"/>
        <w:rPr>
          <w:rFonts w:eastAsia="Times New Roman" w:cs="Times New Roman"/>
          <w:bCs/>
        </w:rPr>
      </w:pPr>
    </w:p>
    <w:p w:rsidR="00D24550" w:rsidRDefault="00D24550" w:rsidP="00D24550">
      <w:pPr>
        <w:tabs>
          <w:tab w:val="left" w:pos="2295"/>
        </w:tabs>
        <w:ind w:left="360"/>
        <w:jc w:val="center"/>
        <w:rPr>
          <w:rFonts w:cs="Times New Roman"/>
          <w:b/>
          <w:kern w:val="2"/>
        </w:rPr>
      </w:pPr>
      <w:r>
        <w:rPr>
          <w:rFonts w:eastAsia="Times New Roman" w:cs="Times New Roman"/>
        </w:rPr>
        <w:br w:type="page"/>
      </w:r>
      <w:r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D24550" w:rsidRDefault="00D24550" w:rsidP="00D24550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437"/>
      </w:tblGrid>
      <w:tr w:rsidR="00D24550" w:rsidRPr="00E27C05" w:rsidTr="00E27C0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0" w:rsidRPr="00E27C05" w:rsidRDefault="00D24550" w:rsidP="00E27C0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 xml:space="preserve">Код </w:t>
            </w:r>
            <w:r w:rsidRPr="00E27C05">
              <w:rPr>
                <w:rFonts w:cs="Times New Roman"/>
                <w:b/>
              </w:rPr>
              <w:br/>
              <w:t>компетенции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0" w:rsidRPr="00E27C05" w:rsidRDefault="00D24550" w:rsidP="00E27C0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>Формулировка компетенции</w:t>
            </w:r>
          </w:p>
        </w:tc>
      </w:tr>
      <w:tr w:rsidR="00D24550" w:rsidRPr="00E27C05" w:rsidTr="00E27C0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2</w:t>
            </w:r>
          </w:p>
        </w:tc>
      </w:tr>
      <w:tr w:rsidR="00D24550" w:rsidRPr="00E27C05" w:rsidTr="00E27C0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 xml:space="preserve">ПК- </w:t>
            </w:r>
            <w:r>
              <w:rPr>
                <w:rFonts w:cs="Times New Roman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360" w:lineRule="auto"/>
              <w:rPr>
                <w:rFonts w:eastAsia="Calibri" w:cs="Times New Roman"/>
                <w:lang w:eastAsia="en-US"/>
              </w:rPr>
            </w:pPr>
            <w:r w:rsidRPr="001D503C">
              <w:rPr>
                <w:rFonts w:cs="Times New Roman"/>
              </w:rPr>
              <w:t xml:space="preserve">Способность к анализу и обобщению результатов научного исследования на основе современных междисциплинарных подходов; </w:t>
            </w:r>
          </w:p>
        </w:tc>
      </w:tr>
      <w:tr w:rsidR="00D24550" w:rsidRPr="00E27C05" w:rsidTr="00E27C0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ПК-</w:t>
            </w:r>
            <w:r>
              <w:rPr>
                <w:rFonts w:cs="Times New Roman"/>
              </w:rPr>
              <w:t>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360" w:lineRule="auto"/>
              <w:rPr>
                <w:rFonts w:eastAsia="Calibri" w:cs="Times New Roman"/>
                <w:lang w:eastAsia="en-US"/>
              </w:rPr>
            </w:pPr>
            <w:r w:rsidRPr="001D503C">
              <w:rPr>
                <w:rFonts w:cs="Times New Roman"/>
              </w:rPr>
              <w:t>Умение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составляющей.</w:t>
            </w:r>
            <w:r w:rsidRPr="001D503C" w:rsidDel="00084F89">
              <w:rPr>
                <w:rFonts w:cs="Times New Roman"/>
              </w:rPr>
              <w:t xml:space="preserve"> </w:t>
            </w:r>
          </w:p>
        </w:tc>
      </w:tr>
    </w:tbl>
    <w:p w:rsidR="00D24550" w:rsidRPr="00E27C05" w:rsidRDefault="00D24550" w:rsidP="00D24550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D24550" w:rsidRPr="00E27C05" w:rsidRDefault="00D24550" w:rsidP="00D24550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E27C05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D24550" w:rsidRPr="00E27C05" w:rsidRDefault="00D24550" w:rsidP="00D24550">
      <w:pPr>
        <w:jc w:val="center"/>
        <w:rPr>
          <w:rFonts w:cs="Times New Roman"/>
          <w:b/>
        </w:rPr>
      </w:pPr>
      <w:r w:rsidRPr="00E27C05">
        <w:rPr>
          <w:rFonts w:cs="Times New Roman"/>
          <w:b/>
        </w:rPr>
        <w:t>«</w:t>
      </w:r>
      <w:r w:rsidRPr="00E27C05">
        <w:rPr>
          <w:rFonts w:eastAsia="Times New Roman" w:cs="Times New Roman"/>
          <w:b/>
          <w:bCs/>
        </w:rPr>
        <w:t>Управление туристскими процессами и проектами</w:t>
      </w:r>
      <w:r w:rsidRPr="00E27C05">
        <w:rPr>
          <w:rFonts w:cs="Times New Roman"/>
          <w:b/>
        </w:rPr>
        <w:t>»</w:t>
      </w:r>
    </w:p>
    <w:p w:rsidR="00D24550" w:rsidRPr="00E27C05" w:rsidRDefault="00D24550" w:rsidP="00D24550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394"/>
        <w:gridCol w:w="6109"/>
      </w:tblGrid>
      <w:tr w:rsidR="00D24550" w:rsidRPr="00E27C05" w:rsidTr="00E27C0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 xml:space="preserve">№ </w:t>
            </w:r>
            <w:proofErr w:type="gramStart"/>
            <w:r w:rsidRPr="00E27C05">
              <w:rPr>
                <w:rFonts w:cs="Times New Roman"/>
                <w:b/>
              </w:rPr>
              <w:t>п</w:t>
            </w:r>
            <w:proofErr w:type="gramEnd"/>
            <w:r w:rsidRPr="00E27C05">
              <w:rPr>
                <w:rFonts w:cs="Times New Roman"/>
                <w:b/>
              </w:rPr>
              <w:t>/п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>Код контролируемой компетенции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27C05">
              <w:rPr>
                <w:b/>
              </w:rPr>
              <w:t>Наименование</w:t>
            </w:r>
          </w:p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>оценочного средства</w:t>
            </w:r>
          </w:p>
        </w:tc>
      </w:tr>
      <w:tr w:rsidR="00D24550" w:rsidRPr="00E27C05" w:rsidTr="00E27C0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ПК-</w:t>
            </w:r>
            <w:r>
              <w:rPr>
                <w:rFonts w:cs="Times New Roman"/>
              </w:rPr>
              <w:t>2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 xml:space="preserve">Устные ответы </w:t>
            </w:r>
          </w:p>
        </w:tc>
      </w:tr>
      <w:tr w:rsidR="00D24550" w:rsidRPr="00E27C05" w:rsidTr="00E27C0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spacing w:line="276" w:lineRule="auto"/>
              <w:rPr>
                <w:rFonts w:cs="Times New Roman"/>
              </w:rPr>
            </w:pPr>
            <w:r w:rsidRPr="00E27C05">
              <w:rPr>
                <w:rFonts w:cs="Times New Roman"/>
              </w:rPr>
              <w:t xml:space="preserve">ПК </w:t>
            </w:r>
            <w:r>
              <w:rPr>
                <w:rFonts w:cs="Times New Roman"/>
              </w:rPr>
              <w:t>7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50" w:rsidRPr="00E27C05" w:rsidRDefault="00D24550" w:rsidP="00E27C05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Устные ответы</w:t>
            </w:r>
          </w:p>
        </w:tc>
      </w:tr>
    </w:tbl>
    <w:p w:rsidR="00D24550" w:rsidRPr="00E27C05" w:rsidRDefault="00D24550" w:rsidP="00D24550">
      <w:pPr>
        <w:jc w:val="center"/>
        <w:rPr>
          <w:rFonts w:cs="Times New Roman"/>
          <w:b/>
          <w:kern w:val="2"/>
        </w:rPr>
      </w:pPr>
    </w:p>
    <w:p w:rsidR="00D24550" w:rsidRDefault="00D24550" w:rsidP="00D24550">
      <w:pPr>
        <w:ind w:left="360"/>
        <w:jc w:val="center"/>
        <w:rPr>
          <w:rFonts w:cs="Times New Roman"/>
          <w:b/>
        </w:rPr>
      </w:pPr>
      <w:r w:rsidRPr="00E27C05">
        <w:rPr>
          <w:rFonts w:cs="Times New Roman"/>
          <w:b/>
        </w:rPr>
        <w:t>ШКАЛЫ ОЦЕНИВАНИЯ И КРИТЕРИИ ОЦЕНКИ</w:t>
      </w:r>
    </w:p>
    <w:p w:rsidR="00D24550" w:rsidRDefault="00D24550" w:rsidP="00D24550">
      <w:pPr>
        <w:ind w:left="360"/>
        <w:jc w:val="both"/>
        <w:rPr>
          <w:rFonts w:cs="Times New Roman"/>
        </w:rPr>
      </w:pPr>
      <w:r w:rsidRPr="00E27C05">
        <w:rPr>
          <w:rFonts w:cs="Times New Roman"/>
        </w:rPr>
        <w:t>Знания, умения и навыки на зачете оцениваются оценками «зачтено»</w:t>
      </w:r>
      <w:proofErr w:type="gramStart"/>
      <w:r w:rsidRPr="00E27C05">
        <w:rPr>
          <w:rFonts w:cs="Times New Roman"/>
        </w:rPr>
        <w:t>.</w:t>
      </w:r>
      <w:proofErr w:type="gramEnd"/>
      <w:r w:rsidRPr="00E27C05">
        <w:rPr>
          <w:rFonts w:cs="Times New Roman"/>
        </w:rPr>
        <w:t xml:space="preserve"> «</w:t>
      </w:r>
      <w:proofErr w:type="gramStart"/>
      <w:r w:rsidRPr="00E27C05">
        <w:rPr>
          <w:rFonts w:cs="Times New Roman"/>
        </w:rPr>
        <w:t>н</w:t>
      </w:r>
      <w:proofErr w:type="gramEnd"/>
      <w:r w:rsidRPr="00E27C05">
        <w:rPr>
          <w:rFonts w:cs="Times New Roman"/>
        </w:rPr>
        <w:t>е зачтено»</w:t>
      </w:r>
    </w:p>
    <w:p w:rsidR="00D24550" w:rsidRDefault="00D24550" w:rsidP="00D24550">
      <w:pPr>
        <w:ind w:left="36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701"/>
      </w:tblGrid>
      <w:tr w:rsidR="00D24550" w:rsidRPr="00C25BA4" w:rsidTr="00E27C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0" w:rsidRPr="00C25BA4" w:rsidRDefault="00D24550" w:rsidP="00E27C05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Наименования раздела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0" w:rsidRPr="00C25BA4" w:rsidRDefault="00D24550" w:rsidP="00E27C05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контроля</w:t>
            </w:r>
          </w:p>
        </w:tc>
      </w:tr>
      <w:tr w:rsidR="00D24550" w:rsidRPr="00C25BA4" w:rsidTr="00E27C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276" w:lineRule="auto"/>
              <w:rPr>
                <w:rFonts w:cs="Times New Roman"/>
              </w:rPr>
            </w:pPr>
            <w:r w:rsidRPr="00C7009D">
              <w:rPr>
                <w:rFonts w:cs="Times New Roman"/>
              </w:rPr>
              <w:t>Подводная культурное наследие: место, роль, значение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D24550" w:rsidRPr="00C25BA4" w:rsidTr="00E27C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7009D" w:rsidRDefault="00D24550" w:rsidP="00E27C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009D">
              <w:rPr>
                <w:rFonts w:cs="Times New Roman"/>
              </w:rPr>
              <w:t>История изучения подводного культурного наследия</w:t>
            </w:r>
          </w:p>
          <w:p w:rsidR="00D24550" w:rsidRPr="00C25BA4" w:rsidRDefault="00D24550" w:rsidP="00E27C0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  <w:r>
              <w:rPr>
                <w:rFonts w:eastAsia="Calibri" w:cs="Times New Roman"/>
                <w:lang w:eastAsia="en-US"/>
              </w:rPr>
              <w:t>, проектная работа</w:t>
            </w:r>
          </w:p>
        </w:tc>
      </w:tr>
      <w:tr w:rsidR="00D24550" w:rsidRPr="00C25BA4" w:rsidTr="00E27C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276" w:lineRule="auto"/>
              <w:rPr>
                <w:rFonts w:cs="Times New Roman"/>
              </w:rPr>
            </w:pPr>
            <w:r w:rsidRPr="00C7009D">
              <w:rPr>
                <w:rFonts w:cs="Times New Roman"/>
              </w:rPr>
              <w:t>Методики подводных историко-археологических исследований.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360" w:lineRule="auto"/>
              <w:jc w:val="center"/>
              <w:rPr>
                <w:rFonts w:cs="Times New Roman"/>
                <w:kern w:val="2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D24550" w:rsidRPr="00C25BA4" w:rsidTr="00E27C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276" w:lineRule="auto"/>
              <w:rPr>
                <w:rFonts w:cs="Times New Roman"/>
              </w:rPr>
            </w:pPr>
            <w:r w:rsidRPr="00C7009D">
              <w:rPr>
                <w:rFonts w:eastAsia="Calibri" w:cs="Times New Roman"/>
                <w:lang w:eastAsia="en-US"/>
              </w:rPr>
              <w:t>Объект подводного культурного наследия как источник, его познавательные возможности и значение для изучения истории древнего общества.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50" w:rsidRPr="00C25BA4" w:rsidRDefault="00D24550" w:rsidP="00E27C05">
            <w:pPr>
              <w:spacing w:line="360" w:lineRule="auto"/>
              <w:jc w:val="center"/>
              <w:rPr>
                <w:rFonts w:cs="Times New Roman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</w:tbl>
    <w:p w:rsidR="00D24550" w:rsidRPr="00E27C05" w:rsidRDefault="00D24550" w:rsidP="00D24550">
      <w:pPr>
        <w:ind w:left="360"/>
        <w:jc w:val="both"/>
        <w:rPr>
          <w:rFonts w:cs="Times New Roman"/>
        </w:rPr>
      </w:pPr>
    </w:p>
    <w:p w:rsidR="00D24550" w:rsidRDefault="00D24550" w:rsidP="00D245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Описание шкал оценивания</w:t>
      </w:r>
    </w:p>
    <w:p w:rsidR="00D24550" w:rsidRPr="00E27C05" w:rsidRDefault="00D24550" w:rsidP="00D24550">
      <w:pPr>
        <w:jc w:val="center"/>
        <w:rPr>
          <w:rFonts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62"/>
      </w:tblGrid>
      <w:tr w:rsidR="00D24550" w:rsidRPr="00E27C05" w:rsidTr="00E27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  <w:b/>
              </w:rPr>
            </w:pPr>
            <w:r w:rsidRPr="00E27C05">
              <w:rPr>
                <w:rFonts w:cs="Times New Roman"/>
                <w:b/>
              </w:rPr>
              <w:t>Описание</w:t>
            </w:r>
          </w:p>
        </w:tc>
      </w:tr>
      <w:tr w:rsidR="00D24550" w:rsidRPr="00E27C05" w:rsidTr="00E27C05">
        <w:trPr>
          <w:trHeight w:val="1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282822">
              <w:rPr>
                <w:rFonts w:cs="Times New Roman"/>
              </w:rPr>
              <w:t xml:space="preserve">Зачтено </w:t>
            </w:r>
          </w:p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E27C05" w:rsidRDefault="00D24550" w:rsidP="00D24550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E27C05">
              <w:rPr>
                <w:rFonts w:cs="Times New Roman"/>
                <w:spacing w:val="-2"/>
              </w:rPr>
              <w:t>Полное овладение предметом</w:t>
            </w:r>
          </w:p>
          <w:p w:rsidR="00D24550" w:rsidRPr="00282822" w:rsidRDefault="00D24550" w:rsidP="00D24550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E27C05">
              <w:rPr>
                <w:rFonts w:cs="Times New Roman"/>
              </w:rPr>
              <w:t>выполнение основных требований, точност</w:t>
            </w:r>
            <w:r w:rsidRPr="00282822">
              <w:rPr>
                <w:rFonts w:cs="Times New Roman"/>
              </w:rPr>
              <w:t>ь</w:t>
            </w:r>
            <w:r w:rsidRPr="00E27C05">
              <w:rPr>
                <w:rFonts w:cs="Times New Roman"/>
              </w:rPr>
              <w:t xml:space="preserve"> в ходе изложения материала; на дополнительные вопросы даны полные ответы</w:t>
            </w:r>
            <w:r w:rsidRPr="00282822">
              <w:rPr>
                <w:rFonts w:cs="Times New Roman"/>
              </w:rPr>
              <w:t>;</w:t>
            </w:r>
          </w:p>
          <w:p w:rsidR="00D24550" w:rsidRPr="00E27C05" w:rsidRDefault="00D24550" w:rsidP="00D24550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282822">
              <w:rPr>
                <w:rFonts w:cs="Times New Roman"/>
              </w:rPr>
              <w:t>освоение компетенций соответствует высокому уровню</w:t>
            </w:r>
            <w:r w:rsidRPr="00E27C05">
              <w:rPr>
                <w:rFonts w:cs="Times New Roman"/>
              </w:rPr>
              <w:t>.</w:t>
            </w:r>
          </w:p>
          <w:p w:rsidR="00D24550" w:rsidRPr="00E27C05" w:rsidRDefault="00D24550" w:rsidP="00E27C05">
            <w:pPr>
              <w:tabs>
                <w:tab w:val="left" w:pos="708"/>
              </w:tabs>
              <w:ind w:left="720"/>
              <w:rPr>
                <w:rFonts w:cs="Times New Roman"/>
              </w:rPr>
            </w:pPr>
          </w:p>
        </w:tc>
      </w:tr>
      <w:tr w:rsidR="00D24550" w:rsidRPr="00E27C05" w:rsidTr="00E27C05">
        <w:trPr>
          <w:trHeight w:val="1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282822">
              <w:rPr>
                <w:rFonts w:cs="Times New Roman"/>
              </w:rPr>
              <w:lastRenderedPageBreak/>
              <w:t>Не зачтено</w:t>
            </w:r>
          </w:p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27C05">
              <w:rPr>
                <w:rFonts w:cs="Times New Roman"/>
              </w:rPr>
              <w:t xml:space="preserve">– </w:t>
            </w:r>
          </w:p>
          <w:p w:rsidR="00D24550" w:rsidRPr="00E27C05" w:rsidRDefault="00D24550" w:rsidP="00E27C05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27C05">
              <w:rPr>
                <w:rFonts w:cs="Times New Roman"/>
              </w:rPr>
              <w:t>–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50" w:rsidRPr="00282822" w:rsidRDefault="00D24550" w:rsidP="00D24550">
            <w:pPr>
              <w:numPr>
                <w:ilvl w:val="0"/>
                <w:numId w:val="29"/>
              </w:numPr>
              <w:tabs>
                <w:tab w:val="left" w:pos="708"/>
              </w:tabs>
              <w:rPr>
                <w:rFonts w:cs="Times New Roman"/>
              </w:rPr>
            </w:pPr>
            <w:r w:rsidRPr="00E27C05">
              <w:rPr>
                <w:rFonts w:cs="Times New Roman"/>
              </w:rPr>
              <w:t xml:space="preserve">неявка на сдачу </w:t>
            </w:r>
            <w:r w:rsidRPr="00282822">
              <w:rPr>
                <w:rFonts w:cs="Times New Roman"/>
              </w:rPr>
              <w:t>зачета</w:t>
            </w:r>
            <w:r w:rsidRPr="00E27C05">
              <w:rPr>
                <w:rFonts w:cs="Times New Roman"/>
              </w:rPr>
              <w:t xml:space="preserve"> без уважительной причины, </w:t>
            </w:r>
          </w:p>
          <w:p w:rsidR="00D24550" w:rsidRPr="00282822" w:rsidRDefault="00D24550" w:rsidP="00D24550">
            <w:pPr>
              <w:numPr>
                <w:ilvl w:val="0"/>
                <w:numId w:val="29"/>
              </w:numPr>
              <w:tabs>
                <w:tab w:val="left" w:pos="708"/>
              </w:tabs>
              <w:rPr>
                <w:rFonts w:cs="Times New Roman"/>
              </w:rPr>
            </w:pPr>
            <w:r w:rsidRPr="00E27C05">
              <w:rPr>
                <w:rFonts w:cs="Times New Roman"/>
              </w:rPr>
              <w:t>не знание предмета и основных понятий и определений</w:t>
            </w:r>
            <w:r w:rsidRPr="00282822">
              <w:rPr>
                <w:rFonts w:cs="Times New Roman"/>
              </w:rPr>
              <w:t>;</w:t>
            </w:r>
          </w:p>
          <w:p w:rsidR="00D24550" w:rsidRPr="00E27C05" w:rsidRDefault="00D24550" w:rsidP="00D24550">
            <w:pPr>
              <w:numPr>
                <w:ilvl w:val="0"/>
                <w:numId w:val="29"/>
              </w:numPr>
              <w:tabs>
                <w:tab w:val="left" w:pos="708"/>
              </w:tabs>
              <w:rPr>
                <w:rFonts w:cs="Times New Roman"/>
              </w:rPr>
            </w:pPr>
            <w:r w:rsidRPr="00282822">
              <w:rPr>
                <w:rFonts w:cs="Times New Roman"/>
              </w:rPr>
              <w:t>компетенции не освоены.</w:t>
            </w:r>
          </w:p>
          <w:p w:rsidR="00D24550" w:rsidRPr="00282822" w:rsidRDefault="00D24550" w:rsidP="00E27C05">
            <w:pPr>
              <w:rPr>
                <w:rFonts w:cs="Times New Roman"/>
              </w:rPr>
            </w:pPr>
          </w:p>
          <w:p w:rsidR="00D24550" w:rsidRPr="00E27C05" w:rsidRDefault="00D24550" w:rsidP="00E27C05">
            <w:pPr>
              <w:rPr>
                <w:rFonts w:cs="Times New Roman"/>
              </w:rPr>
            </w:pPr>
          </w:p>
        </w:tc>
      </w:tr>
    </w:tbl>
    <w:p w:rsidR="00D24550" w:rsidRPr="00E27C05" w:rsidRDefault="00D24550" w:rsidP="00D24550">
      <w:pPr>
        <w:jc w:val="center"/>
        <w:rPr>
          <w:rFonts w:cs="Times New Roman"/>
          <w:kern w:val="2"/>
        </w:rPr>
      </w:pPr>
    </w:p>
    <w:p w:rsidR="00D24550" w:rsidRPr="00BC0818" w:rsidRDefault="00D24550" w:rsidP="00D24550">
      <w:pPr>
        <w:jc w:val="center"/>
        <w:rPr>
          <w:rFonts w:cs="Times New Roman"/>
          <w:b/>
          <w:sz w:val="28"/>
          <w:szCs w:val="28"/>
          <w:lang w:val="x-none"/>
        </w:rPr>
      </w:pPr>
      <w:r w:rsidRPr="00BC0818">
        <w:rPr>
          <w:rFonts w:cs="Times New Roman"/>
          <w:b/>
          <w:sz w:val="28"/>
          <w:szCs w:val="28"/>
          <w:lang w:val="x-none"/>
        </w:rPr>
        <w:t xml:space="preserve">Формы контроля уровня </w:t>
      </w:r>
      <w:proofErr w:type="spellStart"/>
      <w:r w:rsidRPr="00BC0818">
        <w:rPr>
          <w:rFonts w:cs="Times New Roman"/>
          <w:b/>
          <w:sz w:val="28"/>
          <w:szCs w:val="28"/>
          <w:lang w:val="x-none"/>
        </w:rPr>
        <w:t>обученности</w:t>
      </w:r>
      <w:proofErr w:type="spellEnd"/>
      <w:r w:rsidRPr="00BC0818">
        <w:rPr>
          <w:rFonts w:cs="Times New Roman"/>
          <w:b/>
          <w:sz w:val="28"/>
          <w:szCs w:val="28"/>
          <w:lang w:val="x-none"/>
        </w:rPr>
        <w:t xml:space="preserve"> слушателей </w:t>
      </w:r>
    </w:p>
    <w:p w:rsidR="00D24550" w:rsidRPr="00BC0818" w:rsidRDefault="00D24550" w:rsidP="00D24550">
      <w:pPr>
        <w:jc w:val="center"/>
        <w:rPr>
          <w:rFonts w:cs="Times New Roman"/>
          <w:b/>
          <w:sz w:val="28"/>
          <w:szCs w:val="28"/>
          <w:lang w:val="x-none"/>
        </w:rPr>
      </w:pP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В ходе текущей аттестации в рамках освоения разделов оценивается освоение содержания тем программы. Для этого используются контрольные задания, выполнение </w:t>
      </w:r>
      <w:proofErr w:type="spellStart"/>
      <w:r w:rsidRPr="00E27C05">
        <w:rPr>
          <w:rFonts w:cs="Times New Roman"/>
          <w:sz w:val="28"/>
          <w:szCs w:val="28"/>
          <w:lang w:val="x-none"/>
        </w:rPr>
        <w:t>рефер</w:t>
      </w:r>
      <w:r>
        <w:rPr>
          <w:rFonts w:cs="Times New Roman"/>
          <w:sz w:val="28"/>
          <w:szCs w:val="28"/>
        </w:rPr>
        <w:t>а</w:t>
      </w:r>
      <w:r w:rsidRPr="00E27C05">
        <w:rPr>
          <w:rFonts w:cs="Times New Roman"/>
          <w:sz w:val="28"/>
          <w:szCs w:val="28"/>
          <w:lang w:val="x-none"/>
        </w:rPr>
        <w:t>тивных</w:t>
      </w:r>
      <w:proofErr w:type="spellEnd"/>
      <w:r w:rsidRPr="00E27C05">
        <w:rPr>
          <w:rFonts w:cs="Times New Roman"/>
          <w:sz w:val="28"/>
          <w:szCs w:val="28"/>
          <w:lang w:val="x-none"/>
        </w:rPr>
        <w:t xml:space="preserve"> обзоров, подготовка докладов, диспуты, защита проект</w:t>
      </w:r>
      <w:r>
        <w:rPr>
          <w:rFonts w:cs="Times New Roman"/>
          <w:sz w:val="28"/>
          <w:szCs w:val="28"/>
        </w:rPr>
        <w:t>ной работы</w:t>
      </w:r>
      <w:r w:rsidRPr="00E27C05">
        <w:rPr>
          <w:rFonts w:cs="Times New Roman"/>
          <w:sz w:val="28"/>
          <w:szCs w:val="28"/>
          <w:lang w:val="x-none"/>
        </w:rPr>
        <w:t xml:space="preserve">. Оценка качества освоения разделов осуществляется преподавателем, ведущим занятия по этому разделу и проводится в форме зачета.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>Оценка «зачтено» выставляется за проектную работу, которая носит исследовательский характер, содержит грамотно изложенный теоретический и практически ценный материал, с соответствующими обоснованными выводами. Оценка «зачтено» выставляется за грамотно выполненное во всех отношениях проектное задание при наличии небольших недочетов в его содержании или оформлении. Оценка «</w:t>
      </w:r>
      <w:r w:rsidR="00182CBC" w:rsidRPr="00E27C05">
        <w:rPr>
          <w:rFonts w:cs="Times New Roman"/>
          <w:sz w:val="28"/>
          <w:szCs w:val="28"/>
          <w:lang w:val="x-none"/>
        </w:rPr>
        <w:t>не зачтено</w:t>
      </w:r>
      <w:r w:rsidRPr="00E27C05">
        <w:rPr>
          <w:rFonts w:cs="Times New Roman"/>
          <w:sz w:val="28"/>
          <w:szCs w:val="28"/>
          <w:lang w:val="x-none"/>
        </w:rPr>
        <w:t>» выставляется за проектную работу, которая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выводы, если работа не носит исследовательского характера, не содержит анализа источников и подходов по выбранной теме, не имеет практического материала, выводы носят декларативный характер. Слушатель, не представивший в установленный срок готовое</w:t>
      </w:r>
      <w:r>
        <w:rPr>
          <w:rFonts w:cs="Times New Roman"/>
          <w:sz w:val="28"/>
          <w:szCs w:val="28"/>
        </w:rPr>
        <w:t xml:space="preserve"> </w:t>
      </w:r>
      <w:r w:rsidRPr="00E27C05">
        <w:rPr>
          <w:rFonts w:cs="Times New Roman"/>
          <w:sz w:val="28"/>
          <w:szCs w:val="28"/>
          <w:lang w:val="x-none"/>
        </w:rPr>
        <w:t>проектное задание или представивший проектное задание, которое был оценен на «</w:t>
      </w:r>
      <w:r w:rsidR="00182CBC" w:rsidRPr="00E27C05">
        <w:rPr>
          <w:rFonts w:cs="Times New Roman"/>
          <w:sz w:val="28"/>
          <w:szCs w:val="28"/>
          <w:lang w:val="x-none"/>
        </w:rPr>
        <w:t>не зачтено</w:t>
      </w:r>
      <w:r w:rsidRPr="00E27C05">
        <w:rPr>
          <w:rFonts w:cs="Times New Roman"/>
          <w:sz w:val="28"/>
          <w:szCs w:val="28"/>
          <w:lang w:val="x-none"/>
        </w:rPr>
        <w:t xml:space="preserve">».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Итоговая оценка предполагает суммарный учет посещения занятий, степени активности слушателей и выполнение им всех видов аудиторной и самостоятельной работы.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Контроль самостоятельной работы слушателей осуществляется в течение всего обучения.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Проведение консультаций включает обсуждение вопросов, вызывающих трудности при выполнении заданий для самостоятельной работы.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D24550" w:rsidRDefault="00D24550" w:rsidP="00D24550">
      <w:pPr>
        <w:jc w:val="center"/>
        <w:rPr>
          <w:rFonts w:cs="Times New Roman"/>
          <w:b/>
          <w:sz w:val="28"/>
          <w:szCs w:val="28"/>
          <w:lang w:val="x-none"/>
        </w:rPr>
      </w:pPr>
      <w:r w:rsidRPr="00E27C05">
        <w:rPr>
          <w:rFonts w:cs="Times New Roman"/>
          <w:b/>
          <w:sz w:val="28"/>
          <w:szCs w:val="28"/>
          <w:lang w:val="x-none"/>
        </w:rPr>
        <w:t>Структура зачета</w:t>
      </w:r>
    </w:p>
    <w:p w:rsidR="00D24550" w:rsidRPr="00E27C05" w:rsidRDefault="00D24550" w:rsidP="00D24550">
      <w:pPr>
        <w:jc w:val="center"/>
        <w:rPr>
          <w:rFonts w:cs="Times New Roman"/>
          <w:b/>
          <w:sz w:val="28"/>
          <w:szCs w:val="28"/>
          <w:lang w:val="x-none"/>
        </w:rPr>
      </w:pPr>
    </w:p>
    <w:p w:rsidR="00D2455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Зачет складывается из проверки образовательной программы, а также участия в дискуссионном собеседовании с преподавателем. Знания, умения и владение предметом слушателя оценивается по дифференцированной системе оценки наличия основных единиц компетенции.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D24550" w:rsidRDefault="00D24550" w:rsidP="00D24550">
      <w:pPr>
        <w:ind w:firstLine="709"/>
        <w:jc w:val="center"/>
        <w:rPr>
          <w:rFonts w:cs="Times New Roman"/>
          <w:b/>
          <w:sz w:val="28"/>
          <w:szCs w:val="28"/>
          <w:lang w:val="x-none"/>
        </w:rPr>
      </w:pPr>
      <w:r w:rsidRPr="00E27C05">
        <w:rPr>
          <w:rFonts w:cs="Times New Roman"/>
          <w:b/>
          <w:sz w:val="28"/>
          <w:szCs w:val="28"/>
          <w:lang w:val="x-none"/>
        </w:rPr>
        <w:lastRenderedPageBreak/>
        <w:t>Методические рекомендации к организации самостоятельной работы слушателей</w:t>
      </w:r>
    </w:p>
    <w:p w:rsidR="00D24550" w:rsidRPr="00E27C05" w:rsidRDefault="00D24550" w:rsidP="00D24550">
      <w:pPr>
        <w:ind w:firstLine="709"/>
        <w:jc w:val="center"/>
        <w:rPr>
          <w:rFonts w:cs="Times New Roman"/>
          <w:b/>
          <w:sz w:val="28"/>
          <w:szCs w:val="28"/>
          <w:lang w:val="x-none"/>
        </w:rPr>
      </w:pP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 xml:space="preserve"> Самостоятельная работа обучающихся направлена не только на углубленное изучение учебного материала, но и на выработку учебно-исследовательских умений и профессиональных компетенций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27C05">
        <w:rPr>
          <w:rFonts w:cs="Times New Roman"/>
          <w:sz w:val="28"/>
          <w:szCs w:val="28"/>
          <w:lang w:val="x-none"/>
        </w:rPr>
        <w:t>С этой целью в содержание самостоятельной работы обучающихся входят различные</w:t>
      </w:r>
      <w:r>
        <w:rPr>
          <w:rFonts w:cs="Times New Roman"/>
          <w:sz w:val="28"/>
          <w:szCs w:val="28"/>
        </w:rPr>
        <w:t xml:space="preserve"> </w:t>
      </w:r>
      <w:r w:rsidRPr="00E27C05">
        <w:rPr>
          <w:rFonts w:cs="Times New Roman"/>
          <w:sz w:val="28"/>
          <w:szCs w:val="28"/>
          <w:lang w:val="x-none"/>
        </w:rPr>
        <w:t xml:space="preserve">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 </w:t>
      </w:r>
    </w:p>
    <w:p w:rsidR="00D24550" w:rsidRPr="00E27C05" w:rsidRDefault="00D24550" w:rsidP="00D24550">
      <w:pPr>
        <w:jc w:val="both"/>
        <w:rPr>
          <w:rFonts w:cs="Times New Roman"/>
          <w:sz w:val="28"/>
          <w:szCs w:val="28"/>
          <w:lang w:val="x-none"/>
        </w:rPr>
      </w:pPr>
    </w:p>
    <w:p w:rsidR="00D24550" w:rsidRPr="00E27C05" w:rsidRDefault="00D24550" w:rsidP="00D24550">
      <w:pPr>
        <w:jc w:val="center"/>
        <w:rPr>
          <w:rFonts w:cs="Times New Roman"/>
          <w:b/>
          <w:sz w:val="28"/>
          <w:szCs w:val="28"/>
          <w:lang w:val="x-none"/>
        </w:rPr>
      </w:pPr>
      <w:r w:rsidRPr="00E27C05">
        <w:rPr>
          <w:rFonts w:cs="Times New Roman"/>
          <w:b/>
          <w:sz w:val="28"/>
          <w:szCs w:val="28"/>
          <w:lang w:val="x-none"/>
        </w:rPr>
        <w:t>Типы учебных заданий, формы обучения и оценки</w:t>
      </w:r>
    </w:p>
    <w:p w:rsidR="00D24550" w:rsidRPr="00E84C20" w:rsidRDefault="00D24550" w:rsidP="00D24550">
      <w:pPr>
        <w:jc w:val="both"/>
        <w:rPr>
          <w:rFonts w:cs="Times New Roman"/>
          <w:sz w:val="28"/>
          <w:szCs w:val="28"/>
          <w:lang w:val="x-none"/>
        </w:rPr>
      </w:pPr>
    </w:p>
    <w:p w:rsidR="00D24550" w:rsidRPr="00E84C2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Для подготовки к практическим занятиям и в ходе самостоятельной работе могут использоваться различные средства обучения. </w:t>
      </w:r>
    </w:p>
    <w:p w:rsidR="00D24550" w:rsidRPr="00E84C2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Типы учебных заданий: чтение специальной литературы; поиск материалов в библиотеках и в сети Интернет; составление библиографического обзора литературы по конкретным темам; обмен вопросами и информацией с другими обучающимися с использованием </w:t>
      </w:r>
    </w:p>
    <w:p w:rsidR="00D24550" w:rsidRPr="00E84C2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разнообразных способов коммуникации. </w:t>
      </w:r>
    </w:p>
    <w:p w:rsidR="00D24550" w:rsidRPr="00E84C2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Формы обучения: самостоятельная работа под руководством преподавателя, консультации, интерактивное дистанционное общение преподавателя и слушателя. </w:t>
      </w:r>
    </w:p>
    <w:p w:rsidR="00D24550" w:rsidRPr="00E84C20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Каждый обучающийся должен быть обеспечен доступом к электронно-библиотечной системе, содержащей научные, учебные и учебно-методические издания. </w:t>
      </w:r>
    </w:p>
    <w:p w:rsidR="00D24550" w:rsidRPr="00E27C05" w:rsidRDefault="00D24550" w:rsidP="00D24550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>Методы и средства организации образовательного процесса: лекция, семинар, самостоятельная работ слушателей, консультация, кейс-</w:t>
      </w:r>
      <w:proofErr w:type="spellStart"/>
      <w:r w:rsidRPr="00E84C20">
        <w:rPr>
          <w:rFonts w:cs="Times New Roman"/>
          <w:sz w:val="28"/>
          <w:szCs w:val="28"/>
          <w:lang w:val="x-none"/>
        </w:rPr>
        <w:t>стади</w:t>
      </w:r>
      <w:proofErr w:type="spellEnd"/>
      <w:r w:rsidRPr="00E84C20">
        <w:rPr>
          <w:rFonts w:cs="Times New Roman"/>
          <w:sz w:val="28"/>
          <w:szCs w:val="28"/>
          <w:lang w:val="x-none"/>
        </w:rPr>
        <w:t>, метод «мозгового штурма». Содержание и структура лекционного материала должны быть направлены на стимулирование самостоятельной работы слушателя курсов повышения квалификации, на формирование соответствующих компетенций и соотносится с выбранными преподавателем методами контроля и оценкой его освоения.</w:t>
      </w:r>
    </w:p>
    <w:p w:rsidR="00D24550" w:rsidRDefault="00D24550" w:rsidP="00D24550">
      <w:pPr>
        <w:jc w:val="both"/>
        <w:rPr>
          <w:rFonts w:cs="Times New Roman"/>
          <w:sz w:val="28"/>
          <w:szCs w:val="28"/>
          <w:lang w:val="x-none"/>
        </w:rPr>
      </w:pPr>
    </w:p>
    <w:p w:rsidR="00D24550" w:rsidRPr="00E27C05" w:rsidRDefault="00D24550" w:rsidP="00D24550">
      <w:pPr>
        <w:jc w:val="center"/>
        <w:rPr>
          <w:rFonts w:cs="Times New Roman"/>
          <w:b/>
          <w:sz w:val="28"/>
          <w:szCs w:val="28"/>
        </w:rPr>
      </w:pPr>
      <w:r w:rsidRPr="00E27C05">
        <w:rPr>
          <w:rFonts w:cs="Times New Roman"/>
          <w:b/>
          <w:sz w:val="28"/>
          <w:szCs w:val="28"/>
        </w:rPr>
        <w:t>ВОПРОСЫ ДЛЯ САМОСТОЯТЕЛЬНОГО ИЗУЧЕНИЯ ДИСЦИПЛИНЫ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1.</w:t>
      </w:r>
      <w:r w:rsidRPr="00BF5C6E">
        <w:rPr>
          <w:rFonts w:cs="Times New Roman"/>
          <w:sz w:val="28"/>
          <w:szCs w:val="28"/>
        </w:rPr>
        <w:tab/>
        <w:t>Музеи подводной археологии.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2.</w:t>
      </w:r>
      <w:r w:rsidRPr="00BF5C6E">
        <w:rPr>
          <w:rFonts w:cs="Times New Roman"/>
          <w:sz w:val="28"/>
          <w:szCs w:val="28"/>
        </w:rPr>
        <w:tab/>
        <w:t>Морские музеи, в экспозиции которых включены памятники подводного культурного наследия.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3.</w:t>
      </w:r>
      <w:r w:rsidRPr="00BF5C6E">
        <w:rPr>
          <w:rFonts w:cs="Times New Roman"/>
          <w:sz w:val="28"/>
          <w:szCs w:val="28"/>
        </w:rPr>
        <w:tab/>
        <w:t>Музеи «одного корабля» (или группы кораблей).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4.</w:t>
      </w:r>
      <w:r w:rsidRPr="00BF5C6E">
        <w:rPr>
          <w:rFonts w:cs="Times New Roman"/>
          <w:sz w:val="28"/>
          <w:szCs w:val="28"/>
        </w:rPr>
        <w:tab/>
        <w:t>Музей собственно археологического корабля, извлеченного из воды, законсервированного и подготовленного для музейного показа.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5.</w:t>
      </w:r>
      <w:r w:rsidRPr="00BF5C6E">
        <w:rPr>
          <w:rFonts w:cs="Times New Roman"/>
          <w:sz w:val="28"/>
          <w:szCs w:val="28"/>
        </w:rPr>
        <w:tab/>
        <w:t>Тематические музеи археологических кораблей.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6.</w:t>
      </w:r>
      <w:r w:rsidRPr="00BF5C6E">
        <w:rPr>
          <w:rFonts w:cs="Times New Roman"/>
          <w:sz w:val="28"/>
          <w:szCs w:val="28"/>
        </w:rPr>
        <w:tab/>
        <w:t xml:space="preserve">Музеи, в экспозиции которых представлены останки археологических </w:t>
      </w:r>
      <w:r w:rsidRPr="00BF5C6E">
        <w:rPr>
          <w:rFonts w:cs="Times New Roman"/>
          <w:sz w:val="28"/>
          <w:szCs w:val="28"/>
        </w:rPr>
        <w:lastRenderedPageBreak/>
        <w:t>кораблей, связанные между собой исторически;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7.</w:t>
      </w:r>
      <w:r w:rsidRPr="00BF5C6E">
        <w:rPr>
          <w:rFonts w:cs="Times New Roman"/>
          <w:sz w:val="28"/>
          <w:szCs w:val="28"/>
        </w:rPr>
        <w:tab/>
        <w:t>Музеи, в экспозиции которых представлены останки кораблей, связанные между собой местом обнаружения.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8.</w:t>
      </w:r>
      <w:r w:rsidRPr="00BF5C6E">
        <w:rPr>
          <w:rFonts w:cs="Times New Roman"/>
          <w:sz w:val="28"/>
          <w:szCs w:val="28"/>
        </w:rPr>
        <w:tab/>
        <w:t>Музеи, экспозиции которых развернуты непосредственно под водой, и осмотр которых предполагает использование подводного снаряжения техники: подводные исторические объекты (дайв-</w:t>
      </w:r>
      <w:proofErr w:type="spellStart"/>
      <w:r w:rsidRPr="00BF5C6E">
        <w:rPr>
          <w:rFonts w:cs="Times New Roman"/>
          <w:sz w:val="28"/>
          <w:szCs w:val="28"/>
        </w:rPr>
        <w:t>рэки</w:t>
      </w:r>
      <w:proofErr w:type="spellEnd"/>
      <w:r w:rsidRPr="00BF5C6E">
        <w:rPr>
          <w:rFonts w:cs="Times New Roman"/>
          <w:sz w:val="28"/>
          <w:szCs w:val="28"/>
        </w:rPr>
        <w:t>) и  подводные парки, заповедники.</w:t>
      </w:r>
    </w:p>
    <w:p w:rsidR="00D24550" w:rsidRPr="00BF5C6E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9.</w:t>
      </w:r>
      <w:r w:rsidRPr="00BF5C6E">
        <w:rPr>
          <w:rFonts w:cs="Times New Roman"/>
          <w:sz w:val="28"/>
          <w:szCs w:val="28"/>
        </w:rPr>
        <w:tab/>
        <w:t>Музеи, экспозиции которых частично размещены на дне водоемов (или являются частью дна) и отделены от зрителя водонепроницаемыми прозрачными стенками.</w:t>
      </w:r>
    </w:p>
    <w:p w:rsidR="00D24550" w:rsidRPr="00E27C05" w:rsidRDefault="00D24550" w:rsidP="00D24550">
      <w:pPr>
        <w:jc w:val="both"/>
        <w:rPr>
          <w:rFonts w:cs="Times New Roman"/>
          <w:sz w:val="28"/>
          <w:szCs w:val="28"/>
        </w:rPr>
      </w:pPr>
      <w:r w:rsidRPr="00BF5C6E">
        <w:rPr>
          <w:rFonts w:cs="Times New Roman"/>
          <w:sz w:val="28"/>
          <w:szCs w:val="28"/>
        </w:rPr>
        <w:t>10.</w:t>
      </w:r>
      <w:r w:rsidRPr="00BF5C6E">
        <w:rPr>
          <w:rFonts w:cs="Times New Roman"/>
          <w:sz w:val="28"/>
          <w:szCs w:val="28"/>
        </w:rPr>
        <w:tab/>
        <w:t>Виртуальные музеи (экспозиции)</w:t>
      </w:r>
    </w:p>
    <w:p w:rsidR="00AA161A" w:rsidRPr="00D24550" w:rsidRDefault="00AA161A" w:rsidP="00D24550"/>
    <w:sectPr w:rsidR="00AA161A" w:rsidRPr="00D24550" w:rsidSect="00E27C05">
      <w:foot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E" w:rsidRDefault="007D732E" w:rsidP="00182CBC">
      <w:r>
        <w:separator/>
      </w:r>
    </w:p>
  </w:endnote>
  <w:endnote w:type="continuationSeparator" w:id="0">
    <w:p w:rsidR="007D732E" w:rsidRDefault="007D732E" w:rsidP="0018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681371"/>
      <w:docPartObj>
        <w:docPartGallery w:val="Page Numbers (Bottom of Page)"/>
        <w:docPartUnique/>
      </w:docPartObj>
    </w:sdtPr>
    <w:sdtEndPr/>
    <w:sdtContent>
      <w:p w:rsidR="00182CBC" w:rsidRDefault="00182C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DE">
          <w:rPr>
            <w:noProof/>
          </w:rPr>
          <w:t>6</w:t>
        </w:r>
        <w:r>
          <w:fldChar w:fldCharType="end"/>
        </w:r>
      </w:p>
    </w:sdtContent>
  </w:sdt>
  <w:p w:rsidR="00182CBC" w:rsidRDefault="00182C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E" w:rsidRDefault="007D732E" w:rsidP="00182CBC">
      <w:r>
        <w:separator/>
      </w:r>
    </w:p>
  </w:footnote>
  <w:footnote w:type="continuationSeparator" w:id="0">
    <w:p w:rsidR="007D732E" w:rsidRDefault="007D732E" w:rsidP="0018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47A"/>
    <w:multiLevelType w:val="multilevel"/>
    <w:tmpl w:val="5C5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49E3770"/>
    <w:multiLevelType w:val="hybridMultilevel"/>
    <w:tmpl w:val="29DE9710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87C3C"/>
    <w:multiLevelType w:val="multilevel"/>
    <w:tmpl w:val="B3F0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A35B4"/>
    <w:multiLevelType w:val="hybridMultilevel"/>
    <w:tmpl w:val="10A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B55C7E"/>
    <w:multiLevelType w:val="multilevel"/>
    <w:tmpl w:val="38EC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C7108"/>
    <w:multiLevelType w:val="multilevel"/>
    <w:tmpl w:val="05F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15D70"/>
    <w:multiLevelType w:val="hybridMultilevel"/>
    <w:tmpl w:val="D9A4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0C6B"/>
    <w:multiLevelType w:val="hybridMultilevel"/>
    <w:tmpl w:val="475C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21C4"/>
    <w:multiLevelType w:val="hybridMultilevel"/>
    <w:tmpl w:val="2C540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C4FC9"/>
    <w:multiLevelType w:val="hybridMultilevel"/>
    <w:tmpl w:val="0EBE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15843"/>
    <w:multiLevelType w:val="multilevel"/>
    <w:tmpl w:val="7062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B4347"/>
    <w:multiLevelType w:val="hybridMultilevel"/>
    <w:tmpl w:val="408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85AD6"/>
    <w:multiLevelType w:val="multilevel"/>
    <w:tmpl w:val="FDB6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F2ACC"/>
    <w:multiLevelType w:val="multilevel"/>
    <w:tmpl w:val="1126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8279A"/>
    <w:multiLevelType w:val="multilevel"/>
    <w:tmpl w:val="CFF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D30EE"/>
    <w:multiLevelType w:val="hybridMultilevel"/>
    <w:tmpl w:val="907A09A2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E01BE0"/>
    <w:multiLevelType w:val="multilevel"/>
    <w:tmpl w:val="434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634523"/>
    <w:multiLevelType w:val="hybridMultilevel"/>
    <w:tmpl w:val="30DA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A0D2A"/>
    <w:multiLevelType w:val="multilevel"/>
    <w:tmpl w:val="5898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0"/>
  </w:num>
  <w:num w:numId="5">
    <w:abstractNumId w:val="12"/>
  </w:num>
  <w:num w:numId="6">
    <w:abstractNumId w:val="22"/>
  </w:num>
  <w:num w:numId="7">
    <w:abstractNumId w:val="21"/>
  </w:num>
  <w:num w:numId="8">
    <w:abstractNumId w:val="6"/>
  </w:num>
  <w:num w:numId="9">
    <w:abstractNumId w:val="24"/>
  </w:num>
  <w:num w:numId="10">
    <w:abstractNumId w:val="12"/>
  </w:num>
  <w:num w:numId="11">
    <w:abstractNumId w:val="1"/>
  </w:num>
  <w:num w:numId="12">
    <w:abstractNumId w:val="18"/>
  </w:num>
  <w:num w:numId="13">
    <w:abstractNumId w:val="23"/>
  </w:num>
  <w:num w:numId="14">
    <w:abstractNumId w:val="16"/>
  </w:num>
  <w:num w:numId="15">
    <w:abstractNumId w:val="8"/>
  </w:num>
  <w:num w:numId="16">
    <w:abstractNumId w:val="26"/>
  </w:num>
  <w:num w:numId="17">
    <w:abstractNumId w:val="4"/>
  </w:num>
  <w:num w:numId="18">
    <w:abstractNumId w:val="7"/>
  </w:num>
  <w:num w:numId="19">
    <w:abstractNumId w:val="14"/>
  </w:num>
  <w:num w:numId="20">
    <w:abstractNumId w:val="17"/>
  </w:num>
  <w:num w:numId="21">
    <w:abstractNumId w:val="11"/>
  </w:num>
  <w:num w:numId="22">
    <w:abstractNumId w:val="9"/>
  </w:num>
  <w:num w:numId="23">
    <w:abstractNumId w:val="25"/>
  </w:num>
  <w:num w:numId="24">
    <w:abstractNumId w:val="19"/>
  </w:num>
  <w:num w:numId="25">
    <w:abstractNumId w:val="15"/>
  </w:num>
  <w:num w:numId="26">
    <w:abstractNumId w:val="13"/>
  </w:num>
  <w:num w:numId="27">
    <w:abstractNumId w:val="5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057436"/>
    <w:rsid w:val="000C330F"/>
    <w:rsid w:val="00103A70"/>
    <w:rsid w:val="00175604"/>
    <w:rsid w:val="00182CBC"/>
    <w:rsid w:val="00531E1F"/>
    <w:rsid w:val="005B2821"/>
    <w:rsid w:val="00627AD8"/>
    <w:rsid w:val="007D732E"/>
    <w:rsid w:val="009606F2"/>
    <w:rsid w:val="00AA161A"/>
    <w:rsid w:val="00B43BDE"/>
    <w:rsid w:val="00BA724F"/>
    <w:rsid w:val="00BC1783"/>
    <w:rsid w:val="00CF7186"/>
    <w:rsid w:val="00D24550"/>
    <w:rsid w:val="00E443B9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057436"/>
    <w:rPr>
      <w:i/>
      <w:iCs/>
    </w:rPr>
  </w:style>
  <w:style w:type="paragraph" w:styleId="a9">
    <w:name w:val="header"/>
    <w:basedOn w:val="a"/>
    <w:link w:val="aa"/>
    <w:uiPriority w:val="99"/>
    <w:unhideWhenUsed/>
    <w:rsid w:val="00182C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82CB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182C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82CB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057436"/>
    <w:rPr>
      <w:i/>
      <w:iCs/>
    </w:rPr>
  </w:style>
  <w:style w:type="paragraph" w:styleId="a9">
    <w:name w:val="header"/>
    <w:basedOn w:val="a"/>
    <w:link w:val="aa"/>
    <w:uiPriority w:val="99"/>
    <w:unhideWhenUsed/>
    <w:rsid w:val="00182C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82CB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182C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82CB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2019-12-06T15:19:00Z</cp:lastPrinted>
  <dcterms:created xsi:type="dcterms:W3CDTF">2019-11-14T14:17:00Z</dcterms:created>
  <dcterms:modified xsi:type="dcterms:W3CDTF">2019-12-19T11:18:00Z</dcterms:modified>
</cp:coreProperties>
</file>