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Министерство культуры Российской Федерации</w:t>
      </w:r>
    </w:p>
    <w:p w:rsidR="006B5A18" w:rsidRDefault="006B5A18" w:rsidP="006B5A18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Федеральное государственное бюджетное</w:t>
      </w: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научно-исследовательское учреждение</w:t>
      </w: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Default="006B5A18" w:rsidP="006B5A1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A0613B">
        <w:rPr>
          <w:rFonts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  <w:r w:rsidRPr="005D6879">
        <w:rPr>
          <w:rFonts w:cs="Times New Roman"/>
          <w:sz w:val="28"/>
          <w:szCs w:val="28"/>
        </w:rPr>
        <w:t>»</w:t>
      </w: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Утверждаю:</w:t>
      </w: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Директор </w:t>
      </w: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</w:p>
    <w:p w:rsidR="006B5A18" w:rsidRDefault="006B5A18" w:rsidP="006B5A18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____________ </w:t>
      </w:r>
      <w:r>
        <w:rPr>
          <w:rFonts w:cs="Times New Roman"/>
          <w:sz w:val="28"/>
          <w:szCs w:val="28"/>
        </w:rPr>
        <w:t>Аристархов В.В.</w:t>
      </w: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«____» __________ 201</w:t>
      </w:r>
      <w:r>
        <w:rPr>
          <w:rFonts w:cs="Times New Roman"/>
          <w:sz w:val="28"/>
          <w:szCs w:val="28"/>
        </w:rPr>
        <w:t>9</w:t>
      </w:r>
      <w:r w:rsidRPr="005D6879">
        <w:rPr>
          <w:rFonts w:cs="Times New Roman"/>
          <w:sz w:val="28"/>
          <w:szCs w:val="28"/>
        </w:rPr>
        <w:t xml:space="preserve"> г. </w:t>
      </w:r>
    </w:p>
    <w:p w:rsidR="006B5A18" w:rsidRPr="005D6879" w:rsidRDefault="006B5A18" w:rsidP="006B5A18">
      <w:pPr>
        <w:jc w:val="right"/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1220FC" w:rsidRDefault="006B5A18" w:rsidP="006B5A18">
      <w:pPr>
        <w:jc w:val="center"/>
        <w:rPr>
          <w:rFonts w:cs="Times New Roman"/>
          <w:b/>
          <w:sz w:val="28"/>
          <w:szCs w:val="28"/>
        </w:rPr>
      </w:pPr>
      <w:r w:rsidRPr="001220FC">
        <w:rPr>
          <w:rFonts w:cs="Times New Roman"/>
          <w:b/>
          <w:sz w:val="28"/>
          <w:szCs w:val="28"/>
        </w:rPr>
        <w:t>ФОНД ОЦЕНОЧНЫХ СРЕДСТ</w:t>
      </w:r>
      <w:r w:rsidR="00AB3A1A">
        <w:rPr>
          <w:rFonts w:cs="Times New Roman"/>
          <w:b/>
          <w:sz w:val="28"/>
          <w:szCs w:val="28"/>
        </w:rPr>
        <w:t>В</w:t>
      </w:r>
      <w:bookmarkStart w:id="0" w:name="_GoBack"/>
      <w:bookmarkEnd w:id="0"/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Pr="00F50D98" w:rsidRDefault="006B5A18" w:rsidP="006B5A18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B5A18" w:rsidRDefault="006B5A18" w:rsidP="006B5A18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50D98">
        <w:rPr>
          <w:rFonts w:eastAsia="Times New Roman" w:cs="Times New Roman"/>
          <w:b/>
          <w:bCs/>
          <w:sz w:val="28"/>
          <w:szCs w:val="28"/>
        </w:rPr>
        <w:t>ДОПОЛНИТЕЛЬНАЯ ПРОФЕССИОНАЛЬНАЯ ПРОГРАММА ПОВЫШЕНИЯ КВАЛИФИКАЦИИ СПЕЦИАЛИСТОВ</w:t>
      </w:r>
    </w:p>
    <w:p w:rsidR="006B5A18" w:rsidRPr="00F50D98" w:rsidRDefault="006B5A18" w:rsidP="006B5A18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B5A18" w:rsidRPr="00F50D98" w:rsidRDefault="006B5A18" w:rsidP="006B5A18">
      <w:pPr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F50D98">
        <w:rPr>
          <w:rFonts w:eastAsia="Times New Roman" w:cs="Times New Roman"/>
          <w:b/>
          <w:bCs/>
          <w:sz w:val="28"/>
          <w:szCs w:val="28"/>
          <w:u w:val="single"/>
        </w:rPr>
        <w:t>«Управление туристскими процессами и проектами»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 xml:space="preserve"> </w:t>
      </w:r>
    </w:p>
    <w:p w:rsidR="006B5A18" w:rsidRPr="005D6879" w:rsidRDefault="006B5A18" w:rsidP="006B5A18">
      <w:pPr>
        <w:rPr>
          <w:rFonts w:cs="Times New Roman"/>
          <w:sz w:val="28"/>
          <w:szCs w:val="28"/>
        </w:rPr>
      </w:pPr>
    </w:p>
    <w:p w:rsidR="006B5A18" w:rsidRDefault="006B5A18" w:rsidP="006B5A18">
      <w:pPr>
        <w:jc w:val="center"/>
        <w:rPr>
          <w:rFonts w:cs="Times New Roman"/>
          <w:sz w:val="28"/>
          <w:szCs w:val="28"/>
        </w:rPr>
      </w:pPr>
      <w:r w:rsidRPr="005D6879">
        <w:rPr>
          <w:rFonts w:cs="Times New Roman"/>
          <w:sz w:val="28"/>
          <w:szCs w:val="28"/>
        </w:rPr>
        <w:t>Москва 201</w:t>
      </w:r>
      <w:r>
        <w:rPr>
          <w:rFonts w:cs="Times New Roman"/>
          <w:sz w:val="28"/>
          <w:szCs w:val="28"/>
        </w:rPr>
        <w:t>9</w:t>
      </w:r>
    </w:p>
    <w:p w:rsidR="006B5A18" w:rsidRDefault="006B5A18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B5A18" w:rsidRPr="005D6879" w:rsidRDefault="006B5A18" w:rsidP="006B5A18">
      <w:pPr>
        <w:jc w:val="center"/>
        <w:rPr>
          <w:rFonts w:cs="Times New Roman"/>
          <w:sz w:val="28"/>
          <w:szCs w:val="28"/>
        </w:rPr>
      </w:pPr>
    </w:p>
    <w:p w:rsidR="006B5A18" w:rsidRPr="001220FC" w:rsidRDefault="006B5A18" w:rsidP="006B5A18">
      <w:pPr>
        <w:jc w:val="both"/>
        <w:rPr>
          <w:rFonts w:eastAsia="Times New Roman" w:cs="Times New Roman"/>
          <w:sz w:val="28"/>
          <w:szCs w:val="28"/>
        </w:rPr>
      </w:pPr>
      <w:r w:rsidRPr="001220FC">
        <w:rPr>
          <w:rFonts w:eastAsia="Times New Roman" w:cs="Times New Roman"/>
          <w:bCs/>
          <w:sz w:val="28"/>
          <w:szCs w:val="28"/>
        </w:rPr>
        <w:t>Фонд оценочных сре</w:t>
      </w:r>
      <w:proofErr w:type="gramStart"/>
      <w:r w:rsidRPr="001220FC">
        <w:rPr>
          <w:rFonts w:eastAsia="Times New Roman" w:cs="Times New Roman"/>
          <w:bCs/>
          <w:sz w:val="28"/>
          <w:szCs w:val="28"/>
        </w:rPr>
        <w:t xml:space="preserve">дств </w:t>
      </w:r>
      <w:r w:rsidRPr="001220FC">
        <w:rPr>
          <w:rFonts w:eastAsia="Times New Roman" w:cs="Times New Roman"/>
          <w:sz w:val="28"/>
          <w:szCs w:val="28"/>
        </w:rPr>
        <w:t>пр</w:t>
      </w:r>
      <w:proofErr w:type="gramEnd"/>
      <w:r w:rsidRPr="001220FC">
        <w:rPr>
          <w:rFonts w:eastAsia="Times New Roman" w:cs="Times New Roman"/>
          <w:sz w:val="28"/>
          <w:szCs w:val="28"/>
        </w:rPr>
        <w:t xml:space="preserve">ограммы повышения квалификации «Управление туристскими процессами и проектами» разработан в соответствии с требованиями ФГОС программ </w:t>
      </w:r>
      <w:proofErr w:type="spellStart"/>
      <w:r w:rsidRPr="001220FC">
        <w:rPr>
          <w:rFonts w:eastAsia="Times New Roman" w:cs="Times New Roman"/>
          <w:sz w:val="28"/>
          <w:szCs w:val="28"/>
        </w:rPr>
        <w:t>бакалавриата</w:t>
      </w:r>
      <w:proofErr w:type="spellEnd"/>
      <w:r w:rsidRPr="001220FC">
        <w:rPr>
          <w:rFonts w:eastAsia="Times New Roman" w:cs="Times New Roman"/>
          <w:sz w:val="28"/>
          <w:szCs w:val="28"/>
        </w:rPr>
        <w:t xml:space="preserve"> по направлению подготовки 42.03.02 Туризм</w:t>
      </w:r>
    </w:p>
    <w:p w:rsidR="006B5A18" w:rsidRPr="001220FC" w:rsidRDefault="006B5A18" w:rsidP="006B5A18">
      <w:pPr>
        <w:rPr>
          <w:rFonts w:eastAsia="Times New Roman" w:cs="Times New Roman"/>
          <w:bCs/>
          <w:sz w:val="28"/>
          <w:szCs w:val="28"/>
        </w:rPr>
      </w:pPr>
    </w:p>
    <w:p w:rsidR="006B5A18" w:rsidRPr="001220FC" w:rsidRDefault="003A7083" w:rsidP="006B5A18">
      <w:p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Составитель</w:t>
      </w:r>
      <w:r w:rsidR="006B5A18" w:rsidRPr="001220FC">
        <w:rPr>
          <w:rFonts w:eastAsia="Times New Roman" w:cs="Times New Roman"/>
          <w:bCs/>
          <w:sz w:val="28"/>
          <w:szCs w:val="28"/>
        </w:rPr>
        <w:t>:</w:t>
      </w:r>
    </w:p>
    <w:p w:rsidR="006B5A18" w:rsidRPr="001220FC" w:rsidRDefault="006B5A18" w:rsidP="006B5A18">
      <w:pPr>
        <w:ind w:left="31" w:hanging="31"/>
        <w:rPr>
          <w:rFonts w:eastAsia="Times New Roman" w:cs="Times New Roman"/>
          <w:bCs/>
          <w:sz w:val="28"/>
          <w:szCs w:val="28"/>
        </w:rPr>
      </w:pPr>
      <w:proofErr w:type="spellStart"/>
      <w:r w:rsidRPr="001220FC">
        <w:rPr>
          <w:rFonts w:cs="Times New Roman"/>
          <w:sz w:val="28"/>
          <w:szCs w:val="28"/>
        </w:rPr>
        <w:t>Путрик</w:t>
      </w:r>
      <w:proofErr w:type="spellEnd"/>
      <w:r w:rsidRPr="001220FC">
        <w:rPr>
          <w:rFonts w:cs="Times New Roman"/>
          <w:sz w:val="28"/>
          <w:szCs w:val="28"/>
        </w:rPr>
        <w:t xml:space="preserve"> Юрий Степанович, доктор исторических наук, доцент, руководитель Центра социокультурных и туристских программ</w:t>
      </w:r>
    </w:p>
    <w:p w:rsidR="006B5A18" w:rsidRDefault="006B5A18" w:rsidP="006B5A18">
      <w:pPr>
        <w:ind w:left="31" w:hanging="31"/>
        <w:rPr>
          <w:rFonts w:eastAsia="Times New Roman" w:cs="Times New Roman"/>
          <w:bCs/>
          <w:sz w:val="28"/>
          <w:szCs w:val="28"/>
        </w:rPr>
      </w:pPr>
    </w:p>
    <w:p w:rsidR="006B5A18" w:rsidRPr="001220FC" w:rsidRDefault="006B5A18" w:rsidP="006B5A18">
      <w:pPr>
        <w:ind w:left="31" w:hanging="31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О</w:t>
      </w:r>
      <w:r w:rsidRPr="001220FC">
        <w:rPr>
          <w:rFonts w:eastAsia="Times New Roman" w:cs="Times New Roman"/>
          <w:bCs/>
          <w:sz w:val="28"/>
          <w:szCs w:val="28"/>
        </w:rPr>
        <w:t xml:space="preserve">добрен на заседании </w:t>
      </w:r>
      <w:r w:rsidRPr="001220FC">
        <w:rPr>
          <w:rFonts w:cs="Times New Roman"/>
          <w:sz w:val="28"/>
          <w:szCs w:val="28"/>
        </w:rPr>
        <w:t>Центра социокультурных и туристских программ</w:t>
      </w:r>
      <w:r w:rsidRPr="001220FC">
        <w:rPr>
          <w:rFonts w:eastAsia="Times New Roman" w:cs="Times New Roman"/>
          <w:bCs/>
          <w:sz w:val="28"/>
          <w:szCs w:val="28"/>
        </w:rPr>
        <w:t xml:space="preserve">, протокол № </w:t>
      </w:r>
      <w:r w:rsidR="00ED1073">
        <w:rPr>
          <w:rFonts w:eastAsia="Times New Roman" w:cs="Times New Roman"/>
          <w:bCs/>
          <w:sz w:val="28"/>
          <w:szCs w:val="28"/>
        </w:rPr>
        <w:t xml:space="preserve">  </w:t>
      </w:r>
      <w:r w:rsidRPr="001220FC">
        <w:rPr>
          <w:rFonts w:eastAsia="Times New Roman" w:cs="Times New Roman"/>
          <w:bCs/>
          <w:sz w:val="28"/>
          <w:szCs w:val="28"/>
        </w:rPr>
        <w:t xml:space="preserve">  от   </w:t>
      </w:r>
      <w:r w:rsidR="00ED1073">
        <w:rPr>
          <w:rFonts w:eastAsia="Times New Roman" w:cs="Times New Roman"/>
          <w:bCs/>
          <w:sz w:val="28"/>
          <w:szCs w:val="28"/>
        </w:rPr>
        <w:t>__________</w:t>
      </w:r>
      <w:r w:rsidRPr="001220FC">
        <w:rPr>
          <w:rFonts w:eastAsia="Times New Roman" w:cs="Times New Roman"/>
          <w:bCs/>
          <w:sz w:val="28"/>
          <w:szCs w:val="28"/>
        </w:rPr>
        <w:t xml:space="preserve"> 201</w:t>
      </w:r>
      <w:r>
        <w:rPr>
          <w:rFonts w:eastAsia="Times New Roman" w:cs="Times New Roman"/>
          <w:bCs/>
          <w:sz w:val="28"/>
          <w:szCs w:val="28"/>
        </w:rPr>
        <w:t>9</w:t>
      </w:r>
      <w:r w:rsidRPr="001220FC">
        <w:rPr>
          <w:rFonts w:eastAsia="Times New Roman" w:cs="Times New Roman"/>
          <w:bCs/>
          <w:sz w:val="28"/>
          <w:szCs w:val="28"/>
        </w:rPr>
        <w:t xml:space="preserve"> г.</w:t>
      </w:r>
    </w:p>
    <w:p w:rsidR="006B5A18" w:rsidRPr="001220FC" w:rsidRDefault="006B5A18" w:rsidP="006B5A18">
      <w:pPr>
        <w:ind w:left="1874" w:hanging="1874"/>
        <w:rPr>
          <w:rFonts w:eastAsia="Times New Roman" w:cs="Times New Roman"/>
          <w:sz w:val="28"/>
          <w:szCs w:val="28"/>
        </w:rPr>
      </w:pPr>
    </w:p>
    <w:p w:rsidR="006B5A18" w:rsidRPr="001220FC" w:rsidRDefault="006B5A18" w:rsidP="006B5A18">
      <w:pPr>
        <w:ind w:left="31" w:hanging="31"/>
        <w:rPr>
          <w:rFonts w:cs="Times New Roman"/>
          <w:sz w:val="28"/>
          <w:szCs w:val="28"/>
        </w:rPr>
      </w:pPr>
      <w:r w:rsidRPr="001220FC">
        <w:rPr>
          <w:rFonts w:cs="Times New Roman"/>
          <w:sz w:val="28"/>
          <w:szCs w:val="28"/>
        </w:rPr>
        <w:t>Рецензент:</w:t>
      </w:r>
    </w:p>
    <w:p w:rsidR="006B5A18" w:rsidRPr="001220FC" w:rsidRDefault="006B5A18" w:rsidP="006B5A18">
      <w:pPr>
        <w:rPr>
          <w:rFonts w:cs="Times New Roman"/>
          <w:sz w:val="28"/>
          <w:szCs w:val="28"/>
        </w:rPr>
      </w:pPr>
      <w:r w:rsidRPr="001220FC">
        <w:rPr>
          <w:rFonts w:cs="Times New Roman"/>
          <w:sz w:val="28"/>
          <w:szCs w:val="28"/>
        </w:rPr>
        <w:t xml:space="preserve">Дерябина Е.Д., кандидат культурологии, доцент, </w:t>
      </w:r>
      <w:r w:rsidR="003A7083">
        <w:rPr>
          <w:rFonts w:cs="Times New Roman"/>
          <w:sz w:val="28"/>
          <w:szCs w:val="28"/>
        </w:rPr>
        <w:t>рук</w:t>
      </w:r>
      <w:proofErr w:type="gramStart"/>
      <w:r w:rsidRPr="001220FC">
        <w:rPr>
          <w:rFonts w:cs="Times New Roman"/>
          <w:sz w:val="28"/>
          <w:szCs w:val="28"/>
        </w:rPr>
        <w:t>.</w:t>
      </w:r>
      <w:proofErr w:type="gramEnd"/>
      <w:r w:rsidRPr="001220FC">
        <w:rPr>
          <w:rFonts w:cs="Times New Roman"/>
          <w:sz w:val="28"/>
          <w:szCs w:val="28"/>
        </w:rPr>
        <w:t xml:space="preserve"> </w:t>
      </w:r>
      <w:proofErr w:type="gramStart"/>
      <w:r w:rsidRPr="001220FC">
        <w:rPr>
          <w:rFonts w:cs="Times New Roman"/>
          <w:sz w:val="28"/>
          <w:szCs w:val="28"/>
        </w:rPr>
        <w:t>о</w:t>
      </w:r>
      <w:proofErr w:type="gramEnd"/>
      <w:r w:rsidRPr="001220FC">
        <w:rPr>
          <w:rFonts w:cs="Times New Roman"/>
          <w:sz w:val="28"/>
          <w:szCs w:val="28"/>
        </w:rPr>
        <w:t xml:space="preserve">тделом аспирантуры </w:t>
      </w:r>
    </w:p>
    <w:p w:rsidR="006B5A18" w:rsidRPr="00B81761" w:rsidRDefault="006B5A18" w:rsidP="006B5A18">
      <w:pPr>
        <w:ind w:left="31" w:hanging="31"/>
        <w:rPr>
          <w:rFonts w:eastAsia="Times New Roman" w:cs="Times New Roman"/>
          <w:bCs/>
        </w:rPr>
      </w:pPr>
    </w:p>
    <w:p w:rsidR="006B5A18" w:rsidRDefault="006B5A18" w:rsidP="006B5A18">
      <w:pPr>
        <w:tabs>
          <w:tab w:val="left" w:pos="2295"/>
        </w:tabs>
        <w:ind w:left="360"/>
        <w:jc w:val="center"/>
        <w:rPr>
          <w:rFonts w:cs="Times New Roman"/>
          <w:b/>
          <w:kern w:val="2"/>
        </w:rPr>
      </w:pPr>
      <w:r>
        <w:rPr>
          <w:rFonts w:eastAsia="Times New Roman" w:cs="Times New Roman"/>
        </w:rPr>
        <w:br w:type="page"/>
      </w:r>
      <w:r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6B5A18" w:rsidRDefault="006B5A18" w:rsidP="006B5A18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437"/>
      </w:tblGrid>
      <w:tr w:rsidR="006B5A18" w:rsidRPr="001220FC" w:rsidTr="001220F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18" w:rsidRPr="001220FC" w:rsidRDefault="006B5A18" w:rsidP="001220F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 xml:space="preserve">Код </w:t>
            </w:r>
            <w:r w:rsidRPr="001220FC">
              <w:rPr>
                <w:rFonts w:cs="Times New Roman"/>
                <w:b/>
              </w:rPr>
              <w:br/>
              <w:t>компетенции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18" w:rsidRPr="001220FC" w:rsidRDefault="006B5A18" w:rsidP="001220F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>Формулировка компетенции</w:t>
            </w:r>
          </w:p>
        </w:tc>
      </w:tr>
      <w:tr w:rsidR="006B5A18" w:rsidRPr="001220FC" w:rsidTr="001220F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2</w:t>
            </w:r>
          </w:p>
        </w:tc>
      </w:tr>
      <w:tr w:rsidR="006B5A18" w:rsidRPr="001220FC" w:rsidTr="001220F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ПК- 1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6B5A18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eastAsia="Calibri" w:cs="Times New Roman"/>
                <w:lang w:eastAsia="en-US"/>
              </w:rPr>
            </w:pPr>
            <w:r w:rsidRPr="001220FC">
              <w:rPr>
                <w:rFonts w:cs="Times New Roman"/>
              </w:rPr>
              <w:t>владением теоретическими основами проектирования, готовность к применению основных методов проектирования в туризме.</w:t>
            </w:r>
          </w:p>
        </w:tc>
      </w:tr>
      <w:tr w:rsidR="006B5A18" w:rsidRPr="001220FC" w:rsidTr="001220F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ПК-</w:t>
            </w:r>
            <w:r>
              <w:rPr>
                <w:rFonts w:cs="Times New Roman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6B5A18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eastAsia="Calibri" w:cs="Times New Roman"/>
                <w:lang w:eastAsia="en-US"/>
              </w:rPr>
            </w:pPr>
            <w:r w:rsidRPr="001220FC">
              <w:rPr>
                <w:rFonts w:cs="Times New Roman"/>
              </w:rPr>
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государства.</w:t>
            </w:r>
          </w:p>
        </w:tc>
      </w:tr>
      <w:tr w:rsidR="006B5A18" w:rsidRPr="001220FC" w:rsidTr="001220F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ПК-9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1220FC" w:rsidRDefault="006B5A18" w:rsidP="006B5A18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eastAsia="Calibri" w:cs="Times New Roman"/>
                <w:kern w:val="0"/>
                <w:lang w:eastAsia="en-US" w:bidi="ar-SA"/>
              </w:rPr>
            </w:pPr>
            <w:r w:rsidRPr="001220FC">
              <w:rPr>
                <w:rFonts w:cs="Times New Roman"/>
              </w:rPr>
              <w:t xml:space="preserve">готовностью к применению инновационных технологий в туристской деятельности и новых форм обслуживания потребителей и (или) туристов. </w:t>
            </w:r>
          </w:p>
          <w:p w:rsidR="006B5A18" w:rsidRPr="001220FC" w:rsidRDefault="006B5A18" w:rsidP="001220FC">
            <w:pPr>
              <w:spacing w:line="360" w:lineRule="auto"/>
              <w:rPr>
                <w:rFonts w:cs="Times New Roman"/>
                <w:kern w:val="2"/>
              </w:rPr>
            </w:pPr>
          </w:p>
        </w:tc>
      </w:tr>
    </w:tbl>
    <w:p w:rsidR="006B5A18" w:rsidRPr="001220FC" w:rsidRDefault="006B5A18" w:rsidP="006B5A18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6B5A18" w:rsidRPr="001220FC" w:rsidRDefault="006B5A18" w:rsidP="006B5A18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1220F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6B5A18" w:rsidRPr="001220FC" w:rsidRDefault="006B5A18" w:rsidP="006B5A18">
      <w:pPr>
        <w:jc w:val="center"/>
        <w:rPr>
          <w:rFonts w:cs="Times New Roman"/>
          <w:b/>
        </w:rPr>
      </w:pPr>
      <w:r w:rsidRPr="001220FC">
        <w:rPr>
          <w:rFonts w:cs="Times New Roman"/>
          <w:b/>
        </w:rPr>
        <w:t>«</w:t>
      </w:r>
      <w:r w:rsidRPr="001220FC">
        <w:rPr>
          <w:rFonts w:eastAsia="Times New Roman" w:cs="Times New Roman"/>
          <w:b/>
          <w:bCs/>
        </w:rPr>
        <w:t>Управление туристскими процессами и проектами</w:t>
      </w:r>
      <w:r w:rsidRPr="001220FC">
        <w:rPr>
          <w:rFonts w:cs="Times New Roman"/>
          <w:b/>
        </w:rPr>
        <w:t>»</w:t>
      </w:r>
    </w:p>
    <w:p w:rsidR="006B5A18" w:rsidRPr="001220FC" w:rsidRDefault="006B5A18" w:rsidP="006B5A18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394"/>
        <w:gridCol w:w="6109"/>
      </w:tblGrid>
      <w:tr w:rsidR="006B5A18" w:rsidRPr="001220FC" w:rsidTr="001220F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 xml:space="preserve">№ </w:t>
            </w:r>
            <w:proofErr w:type="gramStart"/>
            <w:r w:rsidRPr="001220FC">
              <w:rPr>
                <w:rFonts w:cs="Times New Roman"/>
                <w:b/>
              </w:rPr>
              <w:t>п</w:t>
            </w:r>
            <w:proofErr w:type="gramEnd"/>
            <w:r w:rsidRPr="001220FC">
              <w:rPr>
                <w:rFonts w:cs="Times New Roman"/>
                <w:b/>
              </w:rPr>
              <w:t>/п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>Код контролируемой компетенции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220FC">
              <w:rPr>
                <w:b/>
              </w:rPr>
              <w:t>Наименование</w:t>
            </w:r>
          </w:p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>оценочного средства</w:t>
            </w:r>
          </w:p>
        </w:tc>
      </w:tr>
      <w:tr w:rsidR="006B5A18" w:rsidRPr="001220FC" w:rsidTr="001220F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ПК-1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 xml:space="preserve">Устные ответы </w:t>
            </w:r>
          </w:p>
        </w:tc>
      </w:tr>
      <w:tr w:rsidR="006B5A18" w:rsidRPr="001220FC" w:rsidTr="001220F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 4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Устные ответы</w:t>
            </w:r>
          </w:p>
        </w:tc>
      </w:tr>
      <w:tr w:rsidR="006B5A18" w:rsidRPr="001220FC" w:rsidTr="001220FC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ПК-9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18" w:rsidRPr="001220FC" w:rsidRDefault="006B5A18" w:rsidP="001220FC">
            <w:pPr>
              <w:tabs>
                <w:tab w:val="left" w:pos="2295"/>
              </w:tabs>
              <w:spacing w:line="276" w:lineRule="auto"/>
              <w:rPr>
                <w:rFonts w:cs="Times New Roman"/>
              </w:rPr>
            </w:pPr>
            <w:r w:rsidRPr="001220FC">
              <w:rPr>
                <w:rFonts w:cs="Times New Roman"/>
              </w:rPr>
              <w:t>Устные ответы</w:t>
            </w:r>
            <w:r>
              <w:rPr>
                <w:rFonts w:cs="Times New Roman"/>
              </w:rPr>
              <w:t>, проектная работа</w:t>
            </w:r>
          </w:p>
        </w:tc>
      </w:tr>
    </w:tbl>
    <w:p w:rsidR="006B5A18" w:rsidRPr="001220FC" w:rsidRDefault="006B5A18" w:rsidP="006B5A18">
      <w:pPr>
        <w:jc w:val="center"/>
        <w:rPr>
          <w:rFonts w:cs="Times New Roman"/>
          <w:b/>
          <w:kern w:val="2"/>
        </w:rPr>
      </w:pPr>
    </w:p>
    <w:p w:rsidR="006B5A18" w:rsidRDefault="006B5A18" w:rsidP="006B5A18">
      <w:pPr>
        <w:ind w:left="360"/>
        <w:jc w:val="center"/>
        <w:rPr>
          <w:rFonts w:cs="Times New Roman"/>
          <w:b/>
        </w:rPr>
      </w:pPr>
      <w:r w:rsidRPr="001220FC">
        <w:rPr>
          <w:rFonts w:cs="Times New Roman"/>
          <w:b/>
        </w:rPr>
        <w:t>ШКАЛЫ ОЦЕНИВАНИЯ И КРИТЕРИИ ОЦЕНКИ</w:t>
      </w:r>
    </w:p>
    <w:p w:rsidR="006B5A18" w:rsidRDefault="006B5A18" w:rsidP="006B5A18">
      <w:pPr>
        <w:ind w:left="360"/>
        <w:jc w:val="both"/>
        <w:rPr>
          <w:rFonts w:cs="Times New Roman"/>
        </w:rPr>
      </w:pPr>
      <w:r w:rsidRPr="001220FC">
        <w:rPr>
          <w:rFonts w:cs="Times New Roman"/>
        </w:rPr>
        <w:t>Знания, умения и навыки на зачете оцениваются оценками «зачтено»</w:t>
      </w:r>
      <w:proofErr w:type="gramStart"/>
      <w:r w:rsidRPr="001220FC">
        <w:rPr>
          <w:rFonts w:cs="Times New Roman"/>
        </w:rPr>
        <w:t>.</w:t>
      </w:r>
      <w:proofErr w:type="gramEnd"/>
      <w:r w:rsidRPr="001220FC">
        <w:rPr>
          <w:rFonts w:cs="Times New Roman"/>
        </w:rPr>
        <w:t xml:space="preserve"> «</w:t>
      </w:r>
      <w:proofErr w:type="gramStart"/>
      <w:r w:rsidRPr="001220FC">
        <w:rPr>
          <w:rFonts w:cs="Times New Roman"/>
        </w:rPr>
        <w:t>н</w:t>
      </w:r>
      <w:proofErr w:type="gramEnd"/>
      <w:r w:rsidRPr="001220FC">
        <w:rPr>
          <w:rFonts w:cs="Times New Roman"/>
        </w:rPr>
        <w:t>е зачтено»</w:t>
      </w:r>
    </w:p>
    <w:p w:rsidR="006B5A18" w:rsidRDefault="006B5A18" w:rsidP="006B5A18">
      <w:pPr>
        <w:ind w:left="36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701"/>
      </w:tblGrid>
      <w:tr w:rsidR="006B5A18" w:rsidRPr="00C25BA4" w:rsidTr="001220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Наименования раздела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контроля</w:t>
            </w:r>
          </w:p>
        </w:tc>
      </w:tr>
      <w:tr w:rsidR="006B5A18" w:rsidRPr="00C25BA4" w:rsidTr="001220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</w:rPr>
            </w:pPr>
            <w:r w:rsidRPr="0068496F">
              <w:rPr>
                <w:rFonts w:cs="Times New Roman"/>
              </w:rPr>
              <w:t>Исторический обзор развития туризма в мире и России.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B5A18" w:rsidRPr="00C25BA4" w:rsidTr="001220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68496F" w:rsidRDefault="006B5A18" w:rsidP="001220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8496F">
              <w:rPr>
                <w:rFonts w:cs="Times New Roman"/>
              </w:rPr>
              <w:t>Современные концепции и модели туристской деятельности.</w:t>
            </w:r>
          </w:p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360" w:lineRule="auto"/>
              <w:jc w:val="center"/>
              <w:rPr>
                <w:rFonts w:eastAsia="Calibri" w:cs="Times New Roman"/>
                <w:lang w:eastAsia="en-US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  <w:r>
              <w:rPr>
                <w:rFonts w:eastAsia="Calibri" w:cs="Times New Roman"/>
                <w:lang w:eastAsia="en-US"/>
              </w:rPr>
              <w:t>, проектная работа</w:t>
            </w:r>
          </w:p>
        </w:tc>
      </w:tr>
      <w:tr w:rsidR="006B5A18" w:rsidRPr="00C25BA4" w:rsidTr="001220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</w:rPr>
            </w:pPr>
            <w:r w:rsidRPr="0068496F">
              <w:rPr>
                <w:rFonts w:cs="Times New Roman"/>
              </w:rPr>
              <w:t>Современное состояние туристской сферы в российской федерации.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360" w:lineRule="auto"/>
              <w:jc w:val="center"/>
              <w:rPr>
                <w:rFonts w:cs="Times New Roman"/>
                <w:kern w:val="2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  <w:tr w:rsidR="006B5A18" w:rsidRPr="00C25BA4" w:rsidTr="001220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276" w:lineRule="auto"/>
              <w:jc w:val="center"/>
              <w:rPr>
                <w:rFonts w:cs="Times New Roman"/>
              </w:rPr>
            </w:pPr>
            <w:r w:rsidRPr="0068496F">
              <w:rPr>
                <w:rFonts w:eastAsia="Calibri" w:cs="Times New Roman"/>
                <w:bCs/>
                <w:lang w:eastAsia="en-US"/>
              </w:rPr>
              <w:t>Международное туристское право.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8" w:rsidRPr="00C25BA4" w:rsidRDefault="006B5A18" w:rsidP="001220FC">
            <w:pPr>
              <w:spacing w:line="360" w:lineRule="auto"/>
              <w:jc w:val="center"/>
              <w:rPr>
                <w:rFonts w:cs="Times New Roman"/>
              </w:rPr>
            </w:pPr>
            <w:r w:rsidRPr="00446C63">
              <w:rPr>
                <w:rFonts w:eastAsia="Calibri" w:cs="Times New Roman"/>
                <w:lang w:eastAsia="en-US"/>
              </w:rPr>
              <w:t>Устное собеседование</w:t>
            </w:r>
          </w:p>
        </w:tc>
      </w:tr>
    </w:tbl>
    <w:p w:rsidR="006B5A18" w:rsidRPr="001220FC" w:rsidRDefault="006B5A18" w:rsidP="006B5A18">
      <w:pPr>
        <w:ind w:left="360"/>
        <w:jc w:val="both"/>
        <w:rPr>
          <w:rFonts w:cs="Times New Roman"/>
        </w:rPr>
      </w:pPr>
    </w:p>
    <w:p w:rsidR="006B5A18" w:rsidRDefault="006B5A18" w:rsidP="006B5A18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Описание шкал оценивания</w:t>
      </w:r>
    </w:p>
    <w:p w:rsidR="006B5A18" w:rsidRPr="001220FC" w:rsidRDefault="006B5A18" w:rsidP="006B5A18">
      <w:pPr>
        <w:jc w:val="center"/>
        <w:rPr>
          <w:rFonts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62"/>
      </w:tblGrid>
      <w:tr w:rsidR="006B5A18" w:rsidRPr="001220FC" w:rsidTr="001220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  <w:b/>
              </w:rPr>
            </w:pPr>
            <w:r w:rsidRPr="001220FC">
              <w:rPr>
                <w:rFonts w:cs="Times New Roman"/>
                <w:b/>
              </w:rPr>
              <w:t>Описание</w:t>
            </w:r>
          </w:p>
        </w:tc>
      </w:tr>
      <w:tr w:rsidR="006B5A18" w:rsidRPr="001220FC" w:rsidTr="001220FC">
        <w:trPr>
          <w:trHeight w:val="1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282822">
              <w:rPr>
                <w:rFonts w:cs="Times New Roman"/>
              </w:rPr>
              <w:lastRenderedPageBreak/>
              <w:t xml:space="preserve">Зачтено </w:t>
            </w:r>
          </w:p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1220FC" w:rsidRDefault="006B5A18" w:rsidP="006B5A18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1220FC">
              <w:rPr>
                <w:rFonts w:cs="Times New Roman"/>
                <w:spacing w:val="-2"/>
              </w:rPr>
              <w:t>Полное овладение предметом</w:t>
            </w:r>
          </w:p>
          <w:p w:rsidR="006B5A18" w:rsidRPr="00282822" w:rsidRDefault="006B5A18" w:rsidP="006B5A18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1220FC">
              <w:rPr>
                <w:rFonts w:cs="Times New Roman"/>
              </w:rPr>
              <w:t>выполнение основных требований, точност</w:t>
            </w:r>
            <w:r w:rsidRPr="00282822">
              <w:rPr>
                <w:rFonts w:cs="Times New Roman"/>
              </w:rPr>
              <w:t>ь</w:t>
            </w:r>
            <w:r w:rsidRPr="001220FC">
              <w:rPr>
                <w:rFonts w:cs="Times New Roman"/>
              </w:rPr>
              <w:t xml:space="preserve"> в ходе изложения материала; на дополнительные вопросы даны полные ответы</w:t>
            </w:r>
            <w:r w:rsidRPr="00282822">
              <w:rPr>
                <w:rFonts w:cs="Times New Roman"/>
              </w:rPr>
              <w:t>;</w:t>
            </w:r>
          </w:p>
          <w:p w:rsidR="006B5A18" w:rsidRPr="001220FC" w:rsidRDefault="006B5A18" w:rsidP="006B5A18">
            <w:pPr>
              <w:numPr>
                <w:ilvl w:val="0"/>
                <w:numId w:val="2"/>
              </w:numPr>
              <w:tabs>
                <w:tab w:val="left" w:pos="708"/>
              </w:tabs>
              <w:rPr>
                <w:rFonts w:cs="Times New Roman"/>
              </w:rPr>
            </w:pPr>
            <w:r w:rsidRPr="00282822">
              <w:rPr>
                <w:rFonts w:cs="Times New Roman"/>
              </w:rPr>
              <w:t>освоение компетенций соответствует высокому уровню</w:t>
            </w:r>
            <w:r w:rsidRPr="001220FC">
              <w:rPr>
                <w:rFonts w:cs="Times New Roman"/>
              </w:rPr>
              <w:t>.</w:t>
            </w:r>
          </w:p>
          <w:p w:rsidR="006B5A18" w:rsidRPr="001220FC" w:rsidRDefault="006B5A18" w:rsidP="001220FC">
            <w:pPr>
              <w:tabs>
                <w:tab w:val="left" w:pos="708"/>
              </w:tabs>
              <w:ind w:left="720"/>
              <w:rPr>
                <w:rFonts w:cs="Times New Roman"/>
              </w:rPr>
            </w:pPr>
          </w:p>
        </w:tc>
      </w:tr>
      <w:tr w:rsidR="006B5A18" w:rsidRPr="001220FC" w:rsidTr="001220FC">
        <w:trPr>
          <w:trHeight w:val="1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282822">
              <w:rPr>
                <w:rFonts w:cs="Times New Roman"/>
              </w:rPr>
              <w:t>Не зачтено</w:t>
            </w:r>
          </w:p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1220FC">
              <w:rPr>
                <w:rFonts w:cs="Times New Roman"/>
              </w:rPr>
              <w:t xml:space="preserve">– </w:t>
            </w:r>
          </w:p>
          <w:p w:rsidR="006B5A18" w:rsidRPr="001220FC" w:rsidRDefault="006B5A18" w:rsidP="001220FC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1220FC">
              <w:rPr>
                <w:rFonts w:cs="Times New Roman"/>
              </w:rPr>
              <w:t>–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18" w:rsidRPr="00282822" w:rsidRDefault="006B5A18" w:rsidP="006B5A18">
            <w:pPr>
              <w:numPr>
                <w:ilvl w:val="0"/>
                <w:numId w:val="25"/>
              </w:numPr>
              <w:tabs>
                <w:tab w:val="left" w:pos="708"/>
              </w:tabs>
              <w:rPr>
                <w:rFonts w:cs="Times New Roman"/>
              </w:rPr>
            </w:pPr>
            <w:r w:rsidRPr="001220FC">
              <w:rPr>
                <w:rFonts w:cs="Times New Roman"/>
              </w:rPr>
              <w:t xml:space="preserve">неявка на сдачу </w:t>
            </w:r>
            <w:r w:rsidRPr="00282822">
              <w:rPr>
                <w:rFonts w:cs="Times New Roman"/>
              </w:rPr>
              <w:t>зачета</w:t>
            </w:r>
            <w:r w:rsidRPr="001220FC">
              <w:rPr>
                <w:rFonts w:cs="Times New Roman"/>
              </w:rPr>
              <w:t xml:space="preserve"> без уважительной причины, </w:t>
            </w:r>
          </w:p>
          <w:p w:rsidR="006B5A18" w:rsidRPr="00282822" w:rsidRDefault="006B5A18" w:rsidP="006B5A18">
            <w:pPr>
              <w:numPr>
                <w:ilvl w:val="0"/>
                <w:numId w:val="25"/>
              </w:numPr>
              <w:tabs>
                <w:tab w:val="left" w:pos="708"/>
              </w:tabs>
              <w:rPr>
                <w:rFonts w:cs="Times New Roman"/>
              </w:rPr>
            </w:pPr>
            <w:r w:rsidRPr="001220FC">
              <w:rPr>
                <w:rFonts w:cs="Times New Roman"/>
              </w:rPr>
              <w:t>не знание предмета и основных понятий и определений</w:t>
            </w:r>
            <w:r w:rsidRPr="00282822">
              <w:rPr>
                <w:rFonts w:cs="Times New Roman"/>
              </w:rPr>
              <w:t>;</w:t>
            </w:r>
          </w:p>
          <w:p w:rsidR="006B5A18" w:rsidRPr="001220FC" w:rsidRDefault="006B5A18" w:rsidP="006B5A18">
            <w:pPr>
              <w:numPr>
                <w:ilvl w:val="0"/>
                <w:numId w:val="25"/>
              </w:numPr>
              <w:tabs>
                <w:tab w:val="left" w:pos="708"/>
              </w:tabs>
              <w:rPr>
                <w:rFonts w:cs="Times New Roman"/>
              </w:rPr>
            </w:pPr>
            <w:r w:rsidRPr="00282822">
              <w:rPr>
                <w:rFonts w:cs="Times New Roman"/>
              </w:rPr>
              <w:t>компетенции не освоены.</w:t>
            </w:r>
          </w:p>
          <w:p w:rsidR="006B5A18" w:rsidRPr="00282822" w:rsidRDefault="006B5A18" w:rsidP="001220FC">
            <w:pPr>
              <w:rPr>
                <w:rFonts w:cs="Times New Roman"/>
              </w:rPr>
            </w:pPr>
          </w:p>
          <w:p w:rsidR="006B5A18" w:rsidRPr="001220FC" w:rsidRDefault="006B5A18" w:rsidP="001220FC">
            <w:pPr>
              <w:rPr>
                <w:rFonts w:cs="Times New Roman"/>
              </w:rPr>
            </w:pPr>
          </w:p>
        </w:tc>
      </w:tr>
    </w:tbl>
    <w:p w:rsidR="006B5A18" w:rsidRPr="001220FC" w:rsidRDefault="006B5A18" w:rsidP="006B5A18">
      <w:pPr>
        <w:jc w:val="center"/>
        <w:rPr>
          <w:rFonts w:cs="Times New Roman"/>
          <w:kern w:val="2"/>
        </w:rPr>
      </w:pPr>
    </w:p>
    <w:p w:rsidR="006B5A18" w:rsidRPr="00BC0818" w:rsidRDefault="006B5A18" w:rsidP="006B5A18">
      <w:pPr>
        <w:jc w:val="center"/>
        <w:rPr>
          <w:rFonts w:cs="Times New Roman"/>
          <w:b/>
          <w:sz w:val="28"/>
          <w:szCs w:val="28"/>
          <w:lang w:val="x-none"/>
        </w:rPr>
      </w:pPr>
      <w:r w:rsidRPr="00BC0818">
        <w:rPr>
          <w:rFonts w:cs="Times New Roman"/>
          <w:b/>
          <w:sz w:val="28"/>
          <w:szCs w:val="28"/>
          <w:lang w:val="x-none"/>
        </w:rPr>
        <w:t xml:space="preserve">Формы контроля уровня </w:t>
      </w:r>
      <w:proofErr w:type="spellStart"/>
      <w:r w:rsidRPr="00BC0818">
        <w:rPr>
          <w:rFonts w:cs="Times New Roman"/>
          <w:b/>
          <w:sz w:val="28"/>
          <w:szCs w:val="28"/>
          <w:lang w:val="x-none"/>
        </w:rPr>
        <w:t>обученности</w:t>
      </w:r>
      <w:proofErr w:type="spellEnd"/>
      <w:r w:rsidRPr="00BC0818">
        <w:rPr>
          <w:rFonts w:cs="Times New Roman"/>
          <w:b/>
          <w:sz w:val="28"/>
          <w:szCs w:val="28"/>
          <w:lang w:val="x-none"/>
        </w:rPr>
        <w:t xml:space="preserve"> слушателей </w:t>
      </w:r>
    </w:p>
    <w:p w:rsidR="006B5A18" w:rsidRPr="00BC0818" w:rsidRDefault="006B5A18" w:rsidP="006B5A18">
      <w:pPr>
        <w:jc w:val="center"/>
        <w:rPr>
          <w:rFonts w:cs="Times New Roman"/>
          <w:b/>
          <w:sz w:val="28"/>
          <w:szCs w:val="28"/>
          <w:lang w:val="x-none"/>
        </w:rPr>
      </w:pP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В ходе текущей аттестации в рамках освоения разделов оценивается освоение содержания тем программы. Для этого используются контрольные задания, выполнение </w:t>
      </w:r>
      <w:proofErr w:type="spellStart"/>
      <w:r w:rsidRPr="001220FC">
        <w:rPr>
          <w:rFonts w:cs="Times New Roman"/>
          <w:sz w:val="28"/>
          <w:szCs w:val="28"/>
          <w:lang w:val="x-none"/>
        </w:rPr>
        <w:t>рефер</w:t>
      </w:r>
      <w:r>
        <w:rPr>
          <w:rFonts w:cs="Times New Roman"/>
          <w:sz w:val="28"/>
          <w:szCs w:val="28"/>
        </w:rPr>
        <w:t>а</w:t>
      </w:r>
      <w:r w:rsidRPr="001220FC">
        <w:rPr>
          <w:rFonts w:cs="Times New Roman"/>
          <w:sz w:val="28"/>
          <w:szCs w:val="28"/>
          <w:lang w:val="x-none"/>
        </w:rPr>
        <w:t>тивных</w:t>
      </w:r>
      <w:proofErr w:type="spellEnd"/>
      <w:r w:rsidRPr="001220FC">
        <w:rPr>
          <w:rFonts w:cs="Times New Roman"/>
          <w:sz w:val="28"/>
          <w:szCs w:val="28"/>
          <w:lang w:val="x-none"/>
        </w:rPr>
        <w:t xml:space="preserve"> обзоров, подготовка докладов, диспуты, защита проект</w:t>
      </w:r>
      <w:r>
        <w:rPr>
          <w:rFonts w:cs="Times New Roman"/>
          <w:sz w:val="28"/>
          <w:szCs w:val="28"/>
        </w:rPr>
        <w:t>ной работы</w:t>
      </w:r>
      <w:r w:rsidRPr="001220FC">
        <w:rPr>
          <w:rFonts w:cs="Times New Roman"/>
          <w:sz w:val="28"/>
          <w:szCs w:val="28"/>
          <w:lang w:val="x-none"/>
        </w:rPr>
        <w:t xml:space="preserve">. Оценка качества освоения разделов осуществляется преподавателем, ведущим занятия по этому разделу и проводится в форме зачета.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>Оценка «зачтено» выставляется за проектную работу, которая носит исследовательский характер, содержит грамотно изложенный теоретический и практически ценный материал, с соответствующими обоснованными выводами. Оценка «зачтено» выставляется за грамотно выполненное во всех отношениях проектное задание при наличии небольших недочетов в его содержании или оформлении. Оценка «</w:t>
      </w:r>
      <w:r w:rsidR="00ED1073" w:rsidRPr="001220FC">
        <w:rPr>
          <w:rFonts w:cs="Times New Roman"/>
          <w:sz w:val="28"/>
          <w:szCs w:val="28"/>
          <w:lang w:val="x-none"/>
        </w:rPr>
        <w:t>не зачтено</w:t>
      </w:r>
      <w:r w:rsidRPr="001220FC">
        <w:rPr>
          <w:rFonts w:cs="Times New Roman"/>
          <w:sz w:val="28"/>
          <w:szCs w:val="28"/>
          <w:lang w:val="x-none"/>
        </w:rPr>
        <w:t>» выставляется за проектную работу, которая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выводы, если работа не носит исследовательского характера, не содержит анализа источников и подходов по выбранной теме, не имеет практического материала, выводы носят декларативный характер. Слушатель, не представивший в установленный срок готовое</w:t>
      </w:r>
      <w:r>
        <w:rPr>
          <w:rFonts w:cs="Times New Roman"/>
          <w:sz w:val="28"/>
          <w:szCs w:val="28"/>
        </w:rPr>
        <w:t xml:space="preserve"> </w:t>
      </w:r>
      <w:r w:rsidRPr="001220FC">
        <w:rPr>
          <w:rFonts w:cs="Times New Roman"/>
          <w:sz w:val="28"/>
          <w:szCs w:val="28"/>
          <w:lang w:val="x-none"/>
        </w:rPr>
        <w:t>проектное задание или представивший проектное задание, которое был оценен на «</w:t>
      </w:r>
      <w:r w:rsidR="00ED1073" w:rsidRPr="001220FC">
        <w:rPr>
          <w:rFonts w:cs="Times New Roman"/>
          <w:sz w:val="28"/>
          <w:szCs w:val="28"/>
          <w:lang w:val="x-none"/>
        </w:rPr>
        <w:t>не зачтено</w:t>
      </w:r>
      <w:r w:rsidRPr="001220FC">
        <w:rPr>
          <w:rFonts w:cs="Times New Roman"/>
          <w:sz w:val="28"/>
          <w:szCs w:val="28"/>
          <w:lang w:val="x-none"/>
        </w:rPr>
        <w:t xml:space="preserve">».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Итоговая оценка предполагает суммарный учет посещения занятий, степени активности слушателей и выполнение им всех видов аудиторной и самостоятельной работы.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Контроль самостоятельной работы слушателей осуществляется в течение всего обучения.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Проведение консультаций включает обсуждение вопросов, вызывающих трудности при выполнении заданий для самостоятельной работы. </w:t>
      </w:r>
    </w:p>
    <w:p w:rsidR="006B5A18" w:rsidRDefault="006B5A18" w:rsidP="006B5A18">
      <w:pPr>
        <w:ind w:firstLine="709"/>
        <w:jc w:val="both"/>
        <w:rPr>
          <w:rFonts w:cs="Times New Roman"/>
          <w:sz w:val="28"/>
          <w:szCs w:val="28"/>
        </w:rPr>
      </w:pPr>
    </w:p>
    <w:p w:rsidR="003A7083" w:rsidRDefault="003A7083" w:rsidP="006B5A18">
      <w:pPr>
        <w:ind w:firstLine="709"/>
        <w:jc w:val="both"/>
        <w:rPr>
          <w:rFonts w:cs="Times New Roman"/>
          <w:sz w:val="28"/>
          <w:szCs w:val="28"/>
        </w:rPr>
      </w:pPr>
    </w:p>
    <w:p w:rsidR="003A7083" w:rsidRPr="003A7083" w:rsidRDefault="003A7083" w:rsidP="006B5A18">
      <w:pPr>
        <w:ind w:firstLine="709"/>
        <w:jc w:val="both"/>
        <w:rPr>
          <w:rFonts w:cs="Times New Roman"/>
          <w:sz w:val="28"/>
          <w:szCs w:val="28"/>
        </w:rPr>
      </w:pPr>
    </w:p>
    <w:p w:rsidR="006B5A18" w:rsidRDefault="006B5A18" w:rsidP="006B5A18">
      <w:pPr>
        <w:jc w:val="center"/>
        <w:rPr>
          <w:rFonts w:cs="Times New Roman"/>
          <w:b/>
          <w:sz w:val="28"/>
          <w:szCs w:val="28"/>
          <w:lang w:val="x-none"/>
        </w:rPr>
      </w:pPr>
      <w:r w:rsidRPr="001220FC">
        <w:rPr>
          <w:rFonts w:cs="Times New Roman"/>
          <w:b/>
          <w:sz w:val="28"/>
          <w:szCs w:val="28"/>
          <w:lang w:val="x-none"/>
        </w:rPr>
        <w:lastRenderedPageBreak/>
        <w:t>Структура зачета</w:t>
      </w:r>
    </w:p>
    <w:p w:rsidR="006B5A18" w:rsidRPr="001220FC" w:rsidRDefault="006B5A18" w:rsidP="006B5A18">
      <w:pPr>
        <w:jc w:val="center"/>
        <w:rPr>
          <w:rFonts w:cs="Times New Roman"/>
          <w:b/>
          <w:sz w:val="28"/>
          <w:szCs w:val="28"/>
          <w:lang w:val="x-none"/>
        </w:rPr>
      </w:pPr>
    </w:p>
    <w:p w:rsidR="006B5A18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Зачет складывается из проверки образовательной программы, а также участия в дискуссионном собеседовании с преподавателем. Знания, умения и владение предметом слушателя оценивается по дифференцированной системе оценки наличия основных единиц компетенции.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6B5A18" w:rsidRDefault="006B5A18" w:rsidP="006B5A18">
      <w:pPr>
        <w:ind w:firstLine="709"/>
        <w:jc w:val="center"/>
        <w:rPr>
          <w:rFonts w:cs="Times New Roman"/>
          <w:b/>
          <w:sz w:val="28"/>
          <w:szCs w:val="28"/>
          <w:lang w:val="x-none"/>
        </w:rPr>
      </w:pPr>
      <w:r w:rsidRPr="001220FC">
        <w:rPr>
          <w:rFonts w:cs="Times New Roman"/>
          <w:b/>
          <w:sz w:val="28"/>
          <w:szCs w:val="28"/>
          <w:lang w:val="x-none"/>
        </w:rPr>
        <w:t>Методические рекомендации к организации самостоятельной работы слушателей</w:t>
      </w:r>
    </w:p>
    <w:p w:rsidR="006B5A18" w:rsidRPr="001220FC" w:rsidRDefault="006B5A18" w:rsidP="006B5A18">
      <w:pPr>
        <w:ind w:firstLine="709"/>
        <w:jc w:val="center"/>
        <w:rPr>
          <w:rFonts w:cs="Times New Roman"/>
          <w:b/>
          <w:sz w:val="28"/>
          <w:szCs w:val="28"/>
          <w:lang w:val="x-none"/>
        </w:rPr>
      </w:pP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 xml:space="preserve"> Самостоятельная работа обучающихся направлена не только на углубленное изучение учебного материала, но и на выработку учебно-исследовательских умений и профессиональных компетенций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220FC">
        <w:rPr>
          <w:rFonts w:cs="Times New Roman"/>
          <w:sz w:val="28"/>
          <w:szCs w:val="28"/>
          <w:lang w:val="x-none"/>
        </w:rPr>
        <w:t>С этой целью в содержание самостоятельной работы обучающихся входят различные</w:t>
      </w:r>
      <w:r>
        <w:rPr>
          <w:rFonts w:cs="Times New Roman"/>
          <w:sz w:val="28"/>
          <w:szCs w:val="28"/>
        </w:rPr>
        <w:t xml:space="preserve"> </w:t>
      </w:r>
      <w:r w:rsidRPr="001220FC">
        <w:rPr>
          <w:rFonts w:cs="Times New Roman"/>
          <w:sz w:val="28"/>
          <w:szCs w:val="28"/>
          <w:lang w:val="x-none"/>
        </w:rPr>
        <w:t xml:space="preserve">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 </w:t>
      </w:r>
    </w:p>
    <w:p w:rsidR="006B5A18" w:rsidRPr="001220FC" w:rsidRDefault="006B5A18" w:rsidP="006B5A18">
      <w:pPr>
        <w:jc w:val="both"/>
        <w:rPr>
          <w:rFonts w:cs="Times New Roman"/>
          <w:sz w:val="28"/>
          <w:szCs w:val="28"/>
          <w:lang w:val="x-none"/>
        </w:rPr>
      </w:pPr>
    </w:p>
    <w:p w:rsidR="006B5A18" w:rsidRPr="001220FC" w:rsidRDefault="006B5A18" w:rsidP="006B5A18">
      <w:pPr>
        <w:jc w:val="center"/>
        <w:rPr>
          <w:rFonts w:cs="Times New Roman"/>
          <w:b/>
          <w:sz w:val="28"/>
          <w:szCs w:val="28"/>
          <w:lang w:val="x-none"/>
        </w:rPr>
      </w:pPr>
      <w:r w:rsidRPr="001220FC">
        <w:rPr>
          <w:rFonts w:cs="Times New Roman"/>
          <w:b/>
          <w:sz w:val="28"/>
          <w:szCs w:val="28"/>
          <w:lang w:val="x-none"/>
        </w:rPr>
        <w:t>Типы учебных заданий, формы обучения и оценки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  <w:lang w:val="x-none"/>
        </w:rPr>
      </w:pPr>
    </w:p>
    <w:p w:rsidR="006B5A18" w:rsidRPr="00E84C20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Для подготовки к практическим занятиям и в ходе самостоятельной работе могут использоваться различные средства обучения. </w:t>
      </w:r>
    </w:p>
    <w:p w:rsidR="006B5A18" w:rsidRPr="00E84C20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Типы учебных заданий: чтение специальной литературы; поиск материалов в библиотеках и в сети Интернет; составление библиографического обзора литературы по конкретным темам; обмен вопросами и информацией с другими обучающимися с использованием </w:t>
      </w:r>
    </w:p>
    <w:p w:rsidR="006B5A18" w:rsidRPr="00E84C20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разнообразных способов коммуникации. </w:t>
      </w:r>
    </w:p>
    <w:p w:rsidR="006B5A18" w:rsidRPr="00E84C20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Формы обучения: самостоятельная работа под руководством преподавателя, консультации, интерактивное дистанционное общение преподавателя и слушателя. </w:t>
      </w:r>
    </w:p>
    <w:p w:rsidR="006B5A18" w:rsidRPr="00E84C20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 xml:space="preserve">Каждый обучающийся должен быть обеспечен доступом к электронно-библиотечной системе, содержащей научные, учебные и учебно-методические издания. </w:t>
      </w:r>
    </w:p>
    <w:p w:rsidR="006B5A18" w:rsidRPr="001220FC" w:rsidRDefault="006B5A18" w:rsidP="006B5A18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E84C20">
        <w:rPr>
          <w:rFonts w:cs="Times New Roman"/>
          <w:sz w:val="28"/>
          <w:szCs w:val="28"/>
          <w:lang w:val="x-none"/>
        </w:rPr>
        <w:t>Методы и средства организации образовательного процесса: лекция, семинар, самостоятельная работ слушателей, консультация, кейс-</w:t>
      </w:r>
      <w:proofErr w:type="spellStart"/>
      <w:r w:rsidRPr="00E84C20">
        <w:rPr>
          <w:rFonts w:cs="Times New Roman"/>
          <w:sz w:val="28"/>
          <w:szCs w:val="28"/>
          <w:lang w:val="x-none"/>
        </w:rPr>
        <w:t>стади</w:t>
      </w:r>
      <w:proofErr w:type="spellEnd"/>
      <w:r w:rsidRPr="00E84C20">
        <w:rPr>
          <w:rFonts w:cs="Times New Roman"/>
          <w:sz w:val="28"/>
          <w:szCs w:val="28"/>
          <w:lang w:val="x-none"/>
        </w:rPr>
        <w:t>, метод «мозгового штурма». Содержание и структура лекционного материала должны быть направлены на стимулирование самостоятельной работы слушателя курсов повышения квалификации, на формирование соответствующих компетенций и соотносится с выбранными преподавателем методами контроля и оценкой его освоения.</w:t>
      </w:r>
    </w:p>
    <w:p w:rsidR="006B5A18" w:rsidRDefault="006B5A18" w:rsidP="006B5A18">
      <w:pPr>
        <w:jc w:val="both"/>
        <w:rPr>
          <w:rFonts w:cs="Times New Roman"/>
          <w:sz w:val="28"/>
          <w:szCs w:val="28"/>
          <w:lang w:val="x-none"/>
        </w:rPr>
      </w:pPr>
    </w:p>
    <w:p w:rsidR="006B5A18" w:rsidRPr="001220FC" w:rsidRDefault="006B5A18" w:rsidP="006B5A18">
      <w:pPr>
        <w:jc w:val="center"/>
        <w:rPr>
          <w:rFonts w:cs="Times New Roman"/>
          <w:b/>
          <w:sz w:val="28"/>
          <w:szCs w:val="28"/>
        </w:rPr>
      </w:pPr>
      <w:r w:rsidRPr="001220FC">
        <w:rPr>
          <w:rFonts w:cs="Times New Roman"/>
          <w:b/>
          <w:sz w:val="28"/>
          <w:szCs w:val="28"/>
        </w:rPr>
        <w:t>ВОПРОСЫ ДЛЯ САМОСТОЯТЕЛЬНОГО ИЗУЧЕНИЯ ДИСЦИПЛИНЫ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6B5A18">
        <w:rPr>
          <w:rFonts w:cs="Times New Roman"/>
          <w:b/>
          <w:sz w:val="28"/>
          <w:szCs w:val="28"/>
        </w:rPr>
        <w:t>Раздел 1.</w:t>
      </w:r>
      <w:r w:rsidRPr="00E84C20">
        <w:rPr>
          <w:rFonts w:cs="Times New Roman"/>
          <w:sz w:val="28"/>
          <w:szCs w:val="28"/>
        </w:rPr>
        <w:t xml:space="preserve"> Исторический обзор развития туризма в мире и России.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lastRenderedPageBreak/>
        <w:t>1.</w:t>
      </w:r>
      <w:r w:rsidRPr="00E84C20">
        <w:rPr>
          <w:rFonts w:cs="Times New Roman"/>
          <w:sz w:val="28"/>
          <w:szCs w:val="28"/>
        </w:rPr>
        <w:tab/>
        <w:t>Эволюция форм и видов туризма в эпоху глобализации и информатизации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2.</w:t>
      </w:r>
      <w:r w:rsidRPr="00E84C20">
        <w:rPr>
          <w:rFonts w:cs="Times New Roman"/>
          <w:sz w:val="28"/>
          <w:szCs w:val="28"/>
        </w:rPr>
        <w:tab/>
        <w:t>Первые научные исследования в СССР в области туризма в 30-е годы.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3.</w:t>
      </w:r>
      <w:r w:rsidRPr="00E84C20">
        <w:rPr>
          <w:rFonts w:cs="Times New Roman"/>
          <w:sz w:val="28"/>
          <w:szCs w:val="28"/>
        </w:rPr>
        <w:tab/>
        <w:t xml:space="preserve">Основные положения  «Федеральной целевой программы развития внутреннего и въездного туризма в Российской Федерации (2011-2018 </w:t>
      </w:r>
      <w:proofErr w:type="spellStart"/>
      <w:proofErr w:type="gramStart"/>
      <w:r w:rsidRPr="00E84C20">
        <w:rPr>
          <w:rFonts w:cs="Times New Roman"/>
          <w:sz w:val="28"/>
          <w:szCs w:val="28"/>
        </w:rPr>
        <w:t>гг</w:t>
      </w:r>
      <w:proofErr w:type="spellEnd"/>
      <w:proofErr w:type="gramEnd"/>
      <w:r w:rsidRPr="00E84C20">
        <w:rPr>
          <w:rFonts w:cs="Times New Roman"/>
          <w:sz w:val="28"/>
          <w:szCs w:val="28"/>
        </w:rPr>
        <w:t xml:space="preserve">)». </w:t>
      </w:r>
    </w:p>
    <w:p w:rsidR="006B5A18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4.</w:t>
      </w:r>
      <w:r w:rsidRPr="00E84C20">
        <w:rPr>
          <w:rFonts w:cs="Times New Roman"/>
          <w:sz w:val="28"/>
          <w:szCs w:val="28"/>
        </w:rPr>
        <w:tab/>
        <w:t xml:space="preserve">Крупномасштабные межрегиональные и международные проекты туристско-рекреационного использования территории. 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6B5A18">
        <w:rPr>
          <w:rFonts w:cs="Times New Roman"/>
          <w:b/>
          <w:sz w:val="28"/>
          <w:szCs w:val="28"/>
        </w:rPr>
        <w:t>Раздел 2.</w:t>
      </w:r>
      <w:r w:rsidRPr="00E84C20">
        <w:rPr>
          <w:rFonts w:cs="Times New Roman"/>
          <w:sz w:val="28"/>
          <w:szCs w:val="28"/>
        </w:rPr>
        <w:t xml:space="preserve"> Современные ко</w:t>
      </w:r>
      <w:r>
        <w:rPr>
          <w:rFonts w:cs="Times New Roman"/>
          <w:sz w:val="28"/>
          <w:szCs w:val="28"/>
        </w:rPr>
        <w:t>нцепции и модели туристской дея</w:t>
      </w:r>
      <w:r w:rsidRPr="00E84C20">
        <w:rPr>
          <w:rFonts w:cs="Times New Roman"/>
          <w:sz w:val="28"/>
          <w:szCs w:val="28"/>
        </w:rPr>
        <w:t>тельности.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1.</w:t>
      </w:r>
      <w:r w:rsidRPr="00E84C20">
        <w:rPr>
          <w:rFonts w:cs="Times New Roman"/>
          <w:sz w:val="28"/>
          <w:szCs w:val="28"/>
        </w:rPr>
        <w:tab/>
        <w:t>Понятие комфортной туристской  среды, её состав  и пути формирования.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2.</w:t>
      </w:r>
      <w:r w:rsidRPr="00E84C20">
        <w:rPr>
          <w:rFonts w:cs="Times New Roman"/>
          <w:sz w:val="28"/>
          <w:szCs w:val="28"/>
        </w:rPr>
        <w:tab/>
        <w:t>Характер взаимодействия основных компонентов туриндустрии на примере деятельности конкретного туристского предприятия.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3.</w:t>
      </w:r>
      <w:r w:rsidRPr="00E84C20">
        <w:rPr>
          <w:rFonts w:cs="Times New Roman"/>
          <w:sz w:val="28"/>
          <w:szCs w:val="28"/>
        </w:rPr>
        <w:tab/>
        <w:t xml:space="preserve">Пути и тенденции развития системы </w:t>
      </w:r>
      <w:proofErr w:type="spellStart"/>
      <w:r w:rsidRPr="00E84C20">
        <w:rPr>
          <w:rFonts w:cs="Times New Roman"/>
          <w:sz w:val="28"/>
          <w:szCs w:val="28"/>
        </w:rPr>
        <w:t>автотуристских</w:t>
      </w:r>
      <w:proofErr w:type="spellEnd"/>
      <w:r w:rsidRPr="00E84C20">
        <w:rPr>
          <w:rFonts w:cs="Times New Roman"/>
          <w:sz w:val="28"/>
          <w:szCs w:val="28"/>
        </w:rPr>
        <w:t xml:space="preserve">  кластеров в Российской Федерации</w:t>
      </w:r>
    </w:p>
    <w:p w:rsidR="006B5A18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4.</w:t>
      </w:r>
      <w:r w:rsidRPr="00E84C20">
        <w:rPr>
          <w:rFonts w:cs="Times New Roman"/>
          <w:sz w:val="28"/>
          <w:szCs w:val="28"/>
        </w:rPr>
        <w:tab/>
        <w:t>Факторы и направления воздействия туризма на смягчение и социально-экономических проблем решение задач  оздоровления нации.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6B5A18">
        <w:rPr>
          <w:rFonts w:cs="Times New Roman"/>
          <w:b/>
          <w:sz w:val="28"/>
          <w:szCs w:val="28"/>
        </w:rPr>
        <w:t>Раздел 3</w:t>
      </w:r>
      <w:r w:rsidRPr="00E84C20">
        <w:rPr>
          <w:rFonts w:cs="Times New Roman"/>
          <w:sz w:val="28"/>
          <w:szCs w:val="28"/>
        </w:rPr>
        <w:t>. Современное состояние туристской сферы в российской федерации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1.</w:t>
      </w:r>
      <w:r w:rsidRPr="00E84C20">
        <w:rPr>
          <w:rFonts w:cs="Times New Roman"/>
          <w:sz w:val="28"/>
          <w:szCs w:val="28"/>
        </w:rPr>
        <w:tab/>
        <w:t>Организационная и функциональная структуры инициативного туроператора во внутреннем туризме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2.</w:t>
      </w:r>
      <w:r w:rsidRPr="00E84C20">
        <w:rPr>
          <w:rFonts w:cs="Times New Roman"/>
          <w:sz w:val="28"/>
          <w:szCs w:val="28"/>
        </w:rPr>
        <w:tab/>
        <w:t xml:space="preserve">Торговые взаимоотношения туроператоров и </w:t>
      </w:r>
      <w:proofErr w:type="spellStart"/>
      <w:r w:rsidRPr="00E84C20">
        <w:rPr>
          <w:rFonts w:cs="Times New Roman"/>
          <w:sz w:val="28"/>
          <w:szCs w:val="28"/>
        </w:rPr>
        <w:t>турагентов</w:t>
      </w:r>
      <w:proofErr w:type="spellEnd"/>
      <w:r w:rsidRPr="00E84C20">
        <w:rPr>
          <w:rFonts w:cs="Times New Roman"/>
          <w:sz w:val="28"/>
          <w:szCs w:val="28"/>
        </w:rPr>
        <w:t>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3.</w:t>
      </w:r>
      <w:r w:rsidRPr="00E84C20">
        <w:rPr>
          <w:rFonts w:cs="Times New Roman"/>
          <w:sz w:val="28"/>
          <w:szCs w:val="28"/>
        </w:rPr>
        <w:tab/>
        <w:t>Функции турагентской компании, как основного партнёра инициативного оператора по продаже туров во внутреннем туризме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4.</w:t>
      </w:r>
      <w:r w:rsidRPr="00E84C20">
        <w:rPr>
          <w:rFonts w:cs="Times New Roman"/>
          <w:sz w:val="28"/>
          <w:szCs w:val="28"/>
        </w:rPr>
        <w:tab/>
        <w:t>Технологический процесс реализации турпродукта туроператором через турагентские фирмы по программам внутреннего туризма .</w:t>
      </w:r>
    </w:p>
    <w:p w:rsidR="006B5A18" w:rsidRDefault="006B5A18" w:rsidP="006B5A18">
      <w:pPr>
        <w:jc w:val="both"/>
        <w:rPr>
          <w:rFonts w:cs="Times New Roman"/>
          <w:sz w:val="28"/>
          <w:szCs w:val="28"/>
        </w:rPr>
      </w:pPr>
      <w:r w:rsidRPr="00E84C20">
        <w:rPr>
          <w:rFonts w:cs="Times New Roman"/>
          <w:sz w:val="28"/>
          <w:szCs w:val="28"/>
        </w:rPr>
        <w:t>5.</w:t>
      </w:r>
      <w:r w:rsidRPr="00E84C20">
        <w:rPr>
          <w:rFonts w:cs="Times New Roman"/>
          <w:sz w:val="28"/>
          <w:szCs w:val="28"/>
        </w:rPr>
        <w:tab/>
        <w:t>Виды внутреннего туризма, наиболее популярные у российских туристов. Их характеристика.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 w:rsidRPr="006B5A18">
        <w:rPr>
          <w:rFonts w:cs="Times New Roman"/>
          <w:b/>
          <w:sz w:val="28"/>
          <w:szCs w:val="28"/>
        </w:rPr>
        <w:t>Раздел 4.</w:t>
      </w:r>
      <w:r w:rsidRPr="00E84C20">
        <w:rPr>
          <w:rFonts w:cs="Times New Roman"/>
          <w:sz w:val="28"/>
          <w:szCs w:val="28"/>
        </w:rPr>
        <w:t xml:space="preserve"> Международное туристское право.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E84C20">
        <w:rPr>
          <w:rFonts w:cs="Times New Roman"/>
          <w:sz w:val="28"/>
          <w:szCs w:val="28"/>
        </w:rPr>
        <w:t>.</w:t>
      </w:r>
      <w:r w:rsidRPr="00E84C20">
        <w:rPr>
          <w:rFonts w:cs="Times New Roman"/>
          <w:sz w:val="28"/>
          <w:szCs w:val="28"/>
        </w:rPr>
        <w:tab/>
        <w:t xml:space="preserve">Крупномасштабные межрегиональные и международные проекты туристско-рекреационного использования территории. 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E84C20">
        <w:rPr>
          <w:rFonts w:cs="Times New Roman"/>
          <w:sz w:val="28"/>
          <w:szCs w:val="28"/>
        </w:rPr>
        <w:t>.</w:t>
      </w:r>
      <w:r w:rsidRPr="00E84C20">
        <w:rPr>
          <w:rFonts w:cs="Times New Roman"/>
          <w:sz w:val="28"/>
          <w:szCs w:val="28"/>
        </w:rPr>
        <w:tab/>
        <w:t>Пути и тенденции развития системы туристско-рекреационных кластеров в Российской Федерации</w:t>
      </w:r>
    </w:p>
    <w:p w:rsidR="006B5A18" w:rsidRPr="00E84C20" w:rsidRDefault="006B5A18" w:rsidP="006B5A1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E84C20">
        <w:rPr>
          <w:rFonts w:cs="Times New Roman"/>
          <w:sz w:val="28"/>
          <w:szCs w:val="28"/>
        </w:rPr>
        <w:t>.</w:t>
      </w:r>
      <w:r w:rsidRPr="00E84C20">
        <w:rPr>
          <w:rFonts w:cs="Times New Roman"/>
          <w:sz w:val="28"/>
          <w:szCs w:val="28"/>
        </w:rPr>
        <w:tab/>
        <w:t>Пути и тенденции развития системы туристских информационных центров в регионах  Российской Федерации</w:t>
      </w:r>
    </w:p>
    <w:p w:rsidR="006B5A18" w:rsidRPr="001220FC" w:rsidRDefault="006B5A18" w:rsidP="006B5A1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E84C20">
        <w:rPr>
          <w:rFonts w:cs="Times New Roman"/>
          <w:sz w:val="28"/>
          <w:szCs w:val="28"/>
        </w:rPr>
        <w:t>.</w:t>
      </w:r>
      <w:r w:rsidRPr="00E84C20">
        <w:rPr>
          <w:rFonts w:cs="Times New Roman"/>
          <w:sz w:val="28"/>
          <w:szCs w:val="28"/>
        </w:rPr>
        <w:tab/>
        <w:t>Основные положения «Государственной программы развития культуры и туризма в Российской Федерации на период 2013 – 2020 гг.».</w:t>
      </w:r>
    </w:p>
    <w:p w:rsidR="006B5A18" w:rsidRPr="001220FC" w:rsidRDefault="006B5A18" w:rsidP="006B5A18">
      <w:pPr>
        <w:jc w:val="both"/>
        <w:rPr>
          <w:rFonts w:cs="Times New Roman"/>
          <w:sz w:val="28"/>
          <w:szCs w:val="28"/>
        </w:rPr>
      </w:pPr>
    </w:p>
    <w:p w:rsidR="00AA161A" w:rsidRPr="006B5A18" w:rsidRDefault="00AA161A" w:rsidP="006B5A18"/>
    <w:sectPr w:rsidR="00AA161A" w:rsidRPr="006B5A18" w:rsidSect="001220FC">
      <w:foot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F7" w:rsidRDefault="00EE21F7" w:rsidP="00ED1073">
      <w:r>
        <w:separator/>
      </w:r>
    </w:p>
  </w:endnote>
  <w:endnote w:type="continuationSeparator" w:id="0">
    <w:p w:rsidR="00EE21F7" w:rsidRDefault="00EE21F7" w:rsidP="00ED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90967"/>
      <w:docPartObj>
        <w:docPartGallery w:val="Page Numbers (Bottom of Page)"/>
        <w:docPartUnique/>
      </w:docPartObj>
    </w:sdtPr>
    <w:sdtEndPr/>
    <w:sdtContent>
      <w:p w:rsidR="00ED1073" w:rsidRDefault="00ED1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1A">
          <w:rPr>
            <w:noProof/>
          </w:rPr>
          <w:t>6</w:t>
        </w:r>
        <w:r>
          <w:fldChar w:fldCharType="end"/>
        </w:r>
      </w:p>
    </w:sdtContent>
  </w:sdt>
  <w:p w:rsidR="00ED1073" w:rsidRDefault="00ED10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F7" w:rsidRDefault="00EE21F7" w:rsidP="00ED1073">
      <w:r>
        <w:separator/>
      </w:r>
    </w:p>
  </w:footnote>
  <w:footnote w:type="continuationSeparator" w:id="0">
    <w:p w:rsidR="00EE21F7" w:rsidRDefault="00EE21F7" w:rsidP="00ED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47A"/>
    <w:multiLevelType w:val="multilevel"/>
    <w:tmpl w:val="5C5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49E3770"/>
    <w:multiLevelType w:val="hybridMultilevel"/>
    <w:tmpl w:val="29DE9710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87C3C"/>
    <w:multiLevelType w:val="multilevel"/>
    <w:tmpl w:val="B3F0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B55C7E"/>
    <w:multiLevelType w:val="multilevel"/>
    <w:tmpl w:val="38EC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C7108"/>
    <w:multiLevelType w:val="multilevel"/>
    <w:tmpl w:val="05F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15D70"/>
    <w:multiLevelType w:val="hybridMultilevel"/>
    <w:tmpl w:val="D9A4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21C4"/>
    <w:multiLevelType w:val="hybridMultilevel"/>
    <w:tmpl w:val="2C540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15843"/>
    <w:multiLevelType w:val="multilevel"/>
    <w:tmpl w:val="7062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85AD6"/>
    <w:multiLevelType w:val="multilevel"/>
    <w:tmpl w:val="FDB6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F2ACC"/>
    <w:multiLevelType w:val="multilevel"/>
    <w:tmpl w:val="1126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8279A"/>
    <w:multiLevelType w:val="multilevel"/>
    <w:tmpl w:val="CFF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D30EE"/>
    <w:multiLevelType w:val="hybridMultilevel"/>
    <w:tmpl w:val="907A09A2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E01BE0"/>
    <w:multiLevelType w:val="multilevel"/>
    <w:tmpl w:val="434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634523"/>
    <w:multiLevelType w:val="hybridMultilevel"/>
    <w:tmpl w:val="30DA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A0D2A"/>
    <w:multiLevelType w:val="multilevel"/>
    <w:tmpl w:val="5898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5"/>
  </w:num>
  <w:num w:numId="9">
    <w:abstractNumId w:val="20"/>
  </w:num>
  <w:num w:numId="10">
    <w:abstractNumId w:val="10"/>
  </w:num>
  <w:num w:numId="11">
    <w:abstractNumId w:val="1"/>
  </w:num>
  <w:num w:numId="12">
    <w:abstractNumId w:val="14"/>
  </w:num>
  <w:num w:numId="13">
    <w:abstractNumId w:val="19"/>
  </w:num>
  <w:num w:numId="14">
    <w:abstractNumId w:val="12"/>
  </w:num>
  <w:num w:numId="15">
    <w:abstractNumId w:val="7"/>
  </w:num>
  <w:num w:numId="16">
    <w:abstractNumId w:val="22"/>
  </w:num>
  <w:num w:numId="17">
    <w:abstractNumId w:val="4"/>
  </w:num>
  <w:num w:numId="18">
    <w:abstractNumId w:val="6"/>
  </w:num>
  <w:num w:numId="19">
    <w:abstractNumId w:val="11"/>
  </w:num>
  <w:num w:numId="20">
    <w:abstractNumId w:val="13"/>
  </w:num>
  <w:num w:numId="21">
    <w:abstractNumId w:val="9"/>
  </w:num>
  <w:num w:numId="22">
    <w:abstractNumId w:val="8"/>
  </w:num>
  <w:num w:numId="23">
    <w:abstractNumId w:val="2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3A7083"/>
    <w:rsid w:val="00523017"/>
    <w:rsid w:val="00531E1F"/>
    <w:rsid w:val="00547AD5"/>
    <w:rsid w:val="006B5A18"/>
    <w:rsid w:val="00804AD2"/>
    <w:rsid w:val="009606F2"/>
    <w:rsid w:val="00AA161A"/>
    <w:rsid w:val="00AB3A1A"/>
    <w:rsid w:val="00BA724F"/>
    <w:rsid w:val="00CF7186"/>
    <w:rsid w:val="00ED1073"/>
    <w:rsid w:val="00EE21F7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ED10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D1073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D10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D1073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ED10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D1073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D10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D1073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2019-12-06T15:07:00Z</cp:lastPrinted>
  <dcterms:created xsi:type="dcterms:W3CDTF">2019-11-14T13:31:00Z</dcterms:created>
  <dcterms:modified xsi:type="dcterms:W3CDTF">2019-12-19T11:17:00Z</dcterms:modified>
</cp:coreProperties>
</file>