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F" w:rsidRPr="009616BC" w:rsidRDefault="00BA724F" w:rsidP="00BA724F">
      <w:pPr>
        <w:jc w:val="center"/>
        <w:rPr>
          <w:rFonts w:cs="Times New Roman"/>
        </w:rPr>
      </w:pPr>
      <w:bookmarkStart w:id="0" w:name="_GoBack"/>
      <w:bookmarkEnd w:id="0"/>
      <w:r w:rsidRPr="009616BC">
        <w:rPr>
          <w:rFonts w:eastAsia="Times New Roman" w:cs="Times New Roman"/>
          <w:spacing w:val="10"/>
        </w:rPr>
        <w:t>Министерство культуры Российской Федерации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Федеральное государственное бюджетное научно-исследовательское учреждение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Российский научно-исследовательский институт культурного и природного наследия имени Д.С. Лихачёва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(Институт Наследия)</w:t>
      </w:r>
    </w:p>
    <w:p w:rsidR="00BA724F" w:rsidRPr="009616BC" w:rsidRDefault="00BA724F" w:rsidP="00BA724F">
      <w:pPr>
        <w:tabs>
          <w:tab w:val="num" w:pos="851"/>
          <w:tab w:val="left" w:pos="1134"/>
        </w:tabs>
        <w:ind w:left="426"/>
        <w:rPr>
          <w:rFonts w:eastAsia="Times New Roman" w:cs="Times New Roman"/>
          <w:b/>
          <w:bCs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</w:rPr>
        <w:t>УТВЕРЖДАЮ: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директор Института Наследия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___________Аристархов В.В.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« ____» _____________ 2019 г.</w:t>
      </w: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  <w:b/>
          <w:bCs/>
        </w:rPr>
        <w:t>ФОНД ОЦЕНОЧНЫХ СРЕДСТВ</w:t>
      </w: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CA5727" w:rsidRPr="00CA5727" w:rsidRDefault="00CA5727" w:rsidP="00CA5727">
      <w:pPr>
        <w:jc w:val="center"/>
        <w:rPr>
          <w:rFonts w:cs="Times New Roman"/>
          <w:b/>
        </w:rPr>
      </w:pPr>
      <w:r w:rsidRPr="00CA5727">
        <w:rPr>
          <w:rFonts w:cs="Times New Roman"/>
          <w:b/>
        </w:rPr>
        <w:t xml:space="preserve">ЦЕРКОВНОСЛАВЯНСКИЙ ЯЗЫК </w:t>
      </w:r>
    </w:p>
    <w:p w:rsidR="00BA724F" w:rsidRPr="009616BC" w:rsidRDefault="00CA5727" w:rsidP="00CA5727">
      <w:pPr>
        <w:jc w:val="center"/>
        <w:rPr>
          <w:rFonts w:eastAsia="Times New Roman" w:cs="Times New Roman"/>
        </w:rPr>
      </w:pPr>
      <w:r w:rsidRPr="00CA5727">
        <w:rPr>
          <w:rFonts w:cs="Times New Roman"/>
          <w:b/>
          <w:i/>
          <w:iCs/>
          <w:vertAlign w:val="superscript"/>
        </w:rPr>
        <w:t xml:space="preserve"> </w:t>
      </w:r>
      <w:r w:rsidR="00BA724F" w:rsidRPr="009616BC">
        <w:rPr>
          <w:rFonts w:eastAsia="Times New Roman" w:cs="Times New Roman"/>
          <w:i/>
          <w:iCs/>
          <w:vertAlign w:val="superscript"/>
        </w:rPr>
        <w:t>(наименование дисциплины)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по программе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 xml:space="preserve"> профессиональной переподготовки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«ХУДОЖНИК-ИКОНОПИСЕЦ. ПРЕПОДАВАТЕЛЬ»</w:t>
      </w:r>
    </w:p>
    <w:p w:rsidR="00BA724F" w:rsidRPr="009616BC" w:rsidRDefault="00BA724F" w:rsidP="00BA724F">
      <w:pPr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КВАЛИФИКАЦИЯ: </w:t>
      </w: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Художник-иконописец. Преподаватель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ФОРМА ОБУЧЕНИЯ: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очная, заочная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ВИД ПРОМЕЖУТОЧНОГО КОНТРОЛЯ: </w:t>
      </w:r>
    </w:p>
    <w:p w:rsidR="00BA724F" w:rsidRPr="009616BC" w:rsidRDefault="00BA724F" w:rsidP="00BA724F">
      <w:pPr>
        <w:jc w:val="right"/>
        <w:rPr>
          <w:rFonts w:eastAsia="Times New Roman" w:cs="Times New Roman"/>
          <w:i/>
          <w:iCs/>
        </w:rPr>
      </w:pPr>
      <w:r w:rsidRPr="009616BC">
        <w:rPr>
          <w:rFonts w:eastAsia="Times New Roman" w:cs="Times New Roman"/>
        </w:rPr>
        <w:t>зачёт, экзамен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Москва 2019</w:t>
      </w:r>
    </w:p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9616BC" w:rsidRDefault="00BA724F" w:rsidP="00BA724F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9616BC">
        <w:rPr>
          <w:rFonts w:cs="Times New Roman"/>
        </w:rPr>
        <w:br w:type="page"/>
      </w:r>
    </w:p>
    <w:p w:rsidR="00BA724F" w:rsidRPr="00EE2A6B" w:rsidRDefault="00BA724F" w:rsidP="00BA724F">
      <w:pPr>
        <w:tabs>
          <w:tab w:val="left" w:pos="2295"/>
        </w:tabs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503"/>
      </w:tblGrid>
      <w:tr w:rsidR="00BA724F" w:rsidRPr="009616BC" w:rsidTr="00D047BE">
        <w:tc>
          <w:tcPr>
            <w:tcW w:w="1564" w:type="dxa"/>
            <w:vAlign w:val="center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Код </w:t>
            </w:r>
            <w:r w:rsidRPr="00EE2A6B">
              <w:rPr>
                <w:rFonts w:cs="Times New Roman"/>
              </w:rPr>
              <w:br/>
              <w:t>компетенции</w:t>
            </w:r>
          </w:p>
        </w:tc>
        <w:tc>
          <w:tcPr>
            <w:tcW w:w="7503" w:type="dxa"/>
            <w:vAlign w:val="center"/>
          </w:tcPr>
          <w:p w:rsidR="00BA724F" w:rsidRPr="00EE2A6B" w:rsidRDefault="00BA724F" w:rsidP="00D047BE">
            <w:pPr>
              <w:spacing w:before="100"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Формулировка компетенции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7503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ПК- 1</w:t>
            </w:r>
            <w:r w:rsidR="00BB431A">
              <w:rPr>
                <w:rFonts w:cs="Times New Roman"/>
              </w:rPr>
              <w:t>2</w:t>
            </w:r>
          </w:p>
        </w:tc>
        <w:tc>
          <w:tcPr>
            <w:tcW w:w="7503" w:type="dxa"/>
          </w:tcPr>
          <w:p w:rsidR="00BB431A" w:rsidRDefault="00BB431A" w:rsidP="00BB431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Способностью самостоятельно разрабатывать учебную программу практических и лекционных занятий, выполнять методическую работу </w:t>
            </w:r>
          </w:p>
          <w:p w:rsidR="00BA724F" w:rsidRPr="009616BC" w:rsidRDefault="00BA724F" w:rsidP="00BA724F">
            <w:pPr>
              <w:widowControl/>
              <w:suppressAutoHyphens w:val="0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A60A68">
              <w:rPr>
                <w:rFonts w:cs="Times New Roman"/>
              </w:rPr>
              <w:t>ПК-3</w:t>
            </w:r>
          </w:p>
        </w:tc>
        <w:tc>
          <w:tcPr>
            <w:tcW w:w="7503" w:type="dxa"/>
          </w:tcPr>
          <w:p w:rsidR="00BA724F" w:rsidRPr="00A60A68" w:rsidRDefault="00BA724F" w:rsidP="00BA724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60A68">
              <w:rPr>
                <w:rFonts w:cs="Times New Roman"/>
              </w:rPr>
      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</w:t>
            </w:r>
            <w:r>
              <w:rPr>
                <w:rFonts w:cs="Times New Roman"/>
              </w:rPr>
              <w:t xml:space="preserve">родных промыслов. </w:t>
            </w:r>
          </w:p>
          <w:p w:rsidR="00BA724F" w:rsidRPr="00EE2A6B" w:rsidRDefault="00BA724F" w:rsidP="00D047BE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</w:tc>
      </w:tr>
    </w:tbl>
    <w:p w:rsidR="00BA724F" w:rsidRPr="009616BC" w:rsidRDefault="00BA724F" w:rsidP="00BA724F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CA5727" w:rsidRPr="00C12553" w:rsidRDefault="00BA724F" w:rsidP="00CA5727">
      <w:pPr>
        <w:pBdr>
          <w:bottom w:val="single" w:sz="4" w:space="1" w:color="auto"/>
        </w:pBdr>
        <w:jc w:val="center"/>
        <w:rPr>
          <w:rFonts w:eastAsia="Times New Roman" w:cs="Times New Roman"/>
          <w:b/>
          <w:snapToGrid w:val="0"/>
          <w:color w:val="000000"/>
        </w:rPr>
      </w:pPr>
      <w:r w:rsidRPr="009616BC">
        <w:rPr>
          <w:b/>
        </w:rPr>
        <w:t>«</w:t>
      </w:r>
      <w:r w:rsidR="00CA5727" w:rsidRPr="00A97179">
        <w:rPr>
          <w:b/>
          <w:sz w:val="28"/>
          <w:szCs w:val="28"/>
        </w:rPr>
        <w:t>Церковнославянский язык</w:t>
      </w:r>
      <w:r w:rsidR="00CA5727">
        <w:rPr>
          <w:b/>
          <w:sz w:val="28"/>
          <w:szCs w:val="28"/>
        </w:rPr>
        <w:t>»</w:t>
      </w:r>
      <w:r w:rsidR="00CA5727" w:rsidRPr="00C12553">
        <w:rPr>
          <w:rFonts w:eastAsia="Times New Roman" w:cs="Times New Roman"/>
          <w:b/>
          <w:snapToGrid w:val="0"/>
          <w:color w:val="000000"/>
        </w:rPr>
        <w:t xml:space="preserve"> </w:t>
      </w: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»</w:t>
      </w:r>
    </w:p>
    <w:p w:rsidR="00BA724F" w:rsidRPr="009616BC" w:rsidRDefault="00BA724F" w:rsidP="00BA724F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361"/>
        <w:gridCol w:w="6078"/>
      </w:tblGrid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  <w:i/>
              </w:rPr>
              <w:t>№ п/п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Код контролируемой компетенции</w:t>
            </w:r>
          </w:p>
        </w:tc>
        <w:tc>
          <w:tcPr>
            <w:tcW w:w="3277" w:type="pct"/>
          </w:tcPr>
          <w:p w:rsidR="00BA724F" w:rsidRPr="009616BC" w:rsidRDefault="00BA724F" w:rsidP="00D047BE">
            <w:pPr>
              <w:pStyle w:val="Default"/>
              <w:spacing w:line="276" w:lineRule="auto"/>
              <w:ind w:left="360"/>
              <w:jc w:val="center"/>
            </w:pPr>
            <w:r w:rsidRPr="009616BC">
              <w:t>Наименование</w:t>
            </w:r>
          </w:p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оценочного средства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ПК-1</w:t>
            </w:r>
            <w:r w:rsidR="00BB431A">
              <w:rPr>
                <w:rFonts w:cs="Times New Roman"/>
              </w:rPr>
              <w:t>2</w:t>
            </w:r>
          </w:p>
        </w:tc>
        <w:tc>
          <w:tcPr>
            <w:tcW w:w="3277" w:type="pct"/>
          </w:tcPr>
          <w:p w:rsidR="00BA724F" w:rsidRPr="00EE2A6B" w:rsidRDefault="00BA724F" w:rsidP="00BB431A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Устные ответы 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1284" w:type="pct"/>
          </w:tcPr>
          <w:p w:rsidR="00BA724F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 -3</w:t>
            </w:r>
          </w:p>
        </w:tc>
        <w:tc>
          <w:tcPr>
            <w:tcW w:w="3277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Устные ответы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  <w:b/>
        </w:rPr>
      </w:pPr>
    </w:p>
    <w:p w:rsidR="00BA724F" w:rsidRPr="00EE2A6B" w:rsidRDefault="00BA724F" w:rsidP="00BA724F">
      <w:pPr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t>Шкалы оценивания и критерии оценки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6095"/>
      </w:tblGrid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Цифровое выражение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Словесное выражение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Описание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Отлично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  <w:spacing w:val="-2"/>
              </w:rPr>
              <w:t>Полное овладение предметом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Хорошо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  <w:spacing w:val="63"/>
              </w:rPr>
            </w:pPr>
            <w:r w:rsidRPr="00EE2A6B">
              <w:rPr>
                <w:rFonts w:cs="Times New Roman"/>
              </w:rPr>
              <w:t>Оц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7"/>
              </w:rPr>
              <w:t>к</w:t>
            </w:r>
            <w:r w:rsidRPr="00EE2A6B">
              <w:rPr>
                <w:rFonts w:cs="Times New Roman"/>
              </w:rPr>
              <w:t>а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</w:rPr>
              <w:t>гр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6"/>
              </w:rPr>
              <w:t>м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</w:rPr>
              <w:t>е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понимание учебного курса,</w:t>
            </w:r>
            <w:r w:rsidRPr="00EE2A6B">
              <w:rPr>
                <w:rFonts w:cs="Times New Roman"/>
                <w:spacing w:val="67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1"/>
              </w:rPr>
              <w:t>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6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"/>
              </w:rPr>
              <w:t>ё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  <w:spacing w:val="1"/>
              </w:rPr>
              <w:t>ам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3"/>
              </w:rPr>
              <w:t xml:space="preserve">; </w:t>
            </w:r>
          </w:p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выполнение основных требований, но при этом допущены недочёты, неточности в ходе изложения материала; на дополнительные вопросы даны неполные ответы.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Освоение курса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5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им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-17"/>
              </w:rPr>
              <w:t>к</w:t>
            </w:r>
            <w:r w:rsidRPr="00EE2A6B">
              <w:rPr>
                <w:rFonts w:cs="Times New Roman"/>
              </w:rPr>
              <w:t>оли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0"/>
              </w:rPr>
              <w:t>е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-2"/>
              </w:rPr>
              <w:t>тв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м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5"/>
              </w:rPr>
              <w:t>е</w:t>
            </w:r>
            <w:r w:rsidRPr="00EE2A6B">
              <w:rPr>
                <w:rFonts w:cs="Times New Roman"/>
                <w:spacing w:val="-8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</w:rPr>
              <w:t>; допущены фактические ошибки в изложении материала, или на дополнительные вопросы даны неполные (неверные) ответы.</w:t>
            </w:r>
          </w:p>
        </w:tc>
      </w:tr>
      <w:tr w:rsidR="00BA724F" w:rsidRPr="009616BC" w:rsidTr="00D047BE">
        <w:trPr>
          <w:trHeight w:val="1036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неявка на сдачу экзамена без уважительной причины, не знание предмета и основных понятий и определений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– 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-11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7"/>
              </w:rPr>
              <w:t>т</w:t>
            </w:r>
            <w:r w:rsidRPr="00EE2A6B">
              <w:rPr>
                <w:rFonts w:cs="Times New Roman"/>
                <w:spacing w:val="-10"/>
              </w:rPr>
              <w:t>а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ый</w:t>
            </w:r>
            <w:r w:rsidRPr="00EE2A6B">
              <w:rPr>
                <w:rFonts w:cs="Times New Roman"/>
                <w:spacing w:val="-6"/>
              </w:rPr>
              <w:t xml:space="preserve"> у</w:t>
            </w:r>
            <w:r w:rsidRPr="00EE2A6B">
              <w:rPr>
                <w:rFonts w:cs="Times New Roman"/>
              </w:rPr>
              <w:t>ро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ь</w:t>
            </w:r>
            <w:r w:rsidRPr="00EE2A6B">
              <w:rPr>
                <w:rFonts w:cs="Times New Roman"/>
                <w:spacing w:val="-12"/>
              </w:rPr>
              <w:t xml:space="preserve"> </w:t>
            </w:r>
            <w:r w:rsidRPr="00EE2A6B">
              <w:rPr>
                <w:rFonts w:cs="Times New Roman"/>
              </w:rPr>
              <w:t>п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5"/>
              </w:rPr>
              <w:t>г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2"/>
              </w:rPr>
              <w:t>в</w:t>
            </w:r>
            <w:r w:rsidRPr="00EE2A6B">
              <w:rPr>
                <w:rFonts w:cs="Times New Roman"/>
                <w:spacing w:val="-1"/>
              </w:rPr>
              <w:t>к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-10"/>
              </w:rPr>
              <w:t xml:space="preserve"> 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 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–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  <w:spacing w:val="-6"/>
              </w:rPr>
            </w:pPr>
            <w:r w:rsidRPr="00EE2A6B">
              <w:rPr>
                <w:rFonts w:cs="Times New Roman"/>
              </w:rPr>
              <w:t>неявка на сдачу зачёта без уважительной причины, не знание предмета и основных понятий и определений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EE2A6B" w:rsidRDefault="00BA724F" w:rsidP="00BA724F">
      <w:pPr>
        <w:spacing w:before="240" w:line="360" w:lineRule="auto"/>
        <w:ind w:left="360"/>
        <w:jc w:val="center"/>
        <w:rPr>
          <w:b/>
        </w:rPr>
      </w:pPr>
      <w:r w:rsidRPr="00EE2A6B">
        <w:rPr>
          <w:b/>
        </w:rPr>
        <w:t>Методические</w:t>
      </w:r>
      <w:r w:rsidRPr="00EE2A6B">
        <w:rPr>
          <w:b/>
          <w:lang w:val="fr-FR"/>
        </w:rPr>
        <w:t xml:space="preserve"> </w:t>
      </w:r>
      <w:r w:rsidRPr="00EE2A6B">
        <w:rPr>
          <w:b/>
        </w:rPr>
        <w:t>материалы,</w:t>
      </w:r>
      <w:r w:rsidRPr="00BF69C9">
        <w:t xml:space="preserve"> </w:t>
      </w:r>
      <w:r w:rsidRPr="00EE2A6B">
        <w:rPr>
          <w:b/>
        </w:rPr>
        <w:t>определяющие процедуры оценивания знаний, умений, навыков</w:t>
      </w:r>
    </w:p>
    <w:p w:rsidR="00BA724F" w:rsidRDefault="00BA724F" w:rsidP="00BA724F">
      <w:pPr>
        <w:spacing w:before="240" w:line="360" w:lineRule="auto"/>
        <w:ind w:firstLine="696"/>
      </w:pPr>
      <w:r w:rsidRPr="00BF69C9">
        <w:lastRenderedPageBreak/>
        <w:t>Знания, умения и навыки на зачёте оцениваются оценками «зачтено» и «не зачтено», на экзамене – «отлично», «хорошо, «удовлетворительно», «неудовлетворительно».</w:t>
      </w:r>
    </w:p>
    <w:p w:rsidR="00BA724F" w:rsidRPr="00BF69C9" w:rsidRDefault="00BA724F" w:rsidP="00BA724F">
      <w:pPr>
        <w:spacing w:before="240" w:line="360" w:lineRule="auto"/>
        <w:ind w:firstLine="696"/>
      </w:pPr>
    </w:p>
    <w:p w:rsidR="00BA724F" w:rsidRDefault="00BA724F" w:rsidP="00BA724F">
      <w:pPr>
        <w:pStyle w:val="a6"/>
        <w:spacing w:line="36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419FD">
        <w:rPr>
          <w:b/>
          <w:sz w:val="24"/>
          <w:szCs w:val="24"/>
        </w:rPr>
        <w:t xml:space="preserve">Формы контроля уровня обученности </w:t>
      </w:r>
      <w:r>
        <w:rPr>
          <w:b/>
          <w:sz w:val="24"/>
          <w:szCs w:val="24"/>
          <w:lang w:val="ru-RU"/>
        </w:rPr>
        <w:t>слушателей программы (обучающихся)</w:t>
      </w:r>
    </w:p>
    <w:p w:rsidR="00BA724F" w:rsidRPr="009616BC" w:rsidRDefault="00BA724F" w:rsidP="00BA724F">
      <w:pPr>
        <w:pStyle w:val="a6"/>
        <w:spacing w:line="360" w:lineRule="auto"/>
        <w:ind w:left="1080" w:firstLine="0"/>
        <w:rPr>
          <w:b/>
          <w:sz w:val="24"/>
          <w:szCs w:val="24"/>
          <w:lang w:val="ru-RU"/>
        </w:rPr>
      </w:pPr>
    </w:p>
    <w:p w:rsidR="00BA724F" w:rsidRPr="00EE2A6B" w:rsidRDefault="00BA724F" w:rsidP="00BA724F">
      <w:pPr>
        <w:ind w:firstLine="708"/>
        <w:jc w:val="both"/>
        <w:rPr>
          <w:rFonts w:eastAsia="Times New Roman"/>
        </w:rPr>
      </w:pPr>
      <w:r w:rsidRPr="00EE2A6B">
        <w:rPr>
          <w:rFonts w:eastAsia="Times New Roman"/>
        </w:rPr>
        <w:t xml:space="preserve">В процессе изучения дисциплины предусмотрены следующие формы контроля: текущий, промежуточный контроль (зачеты/экзамен), контроль самостоятельной работы обучающихся.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Текущий контроль</w:t>
      </w:r>
      <w:r w:rsidRPr="00BF69C9">
        <w:t xml:space="preserve"> осуществляется в течение семестра в виде устного опроса-собеседования с </w:t>
      </w:r>
      <w:r>
        <w:t>обучающимися</w:t>
      </w:r>
      <w:r w:rsidRPr="00BF69C9">
        <w:t xml:space="preserve"> по темам курса, тестов, </w:t>
      </w:r>
      <w:r>
        <w:t xml:space="preserve">презентаций, докладов, рефератов, </w:t>
      </w:r>
      <w:r w:rsidRPr="00BF69C9">
        <w:t>проведения</w:t>
      </w:r>
      <w:r>
        <w:t xml:space="preserve"> семинаров.</w:t>
      </w:r>
      <w:r w:rsidRPr="00BF69C9">
        <w:t xml:space="preserve">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Промежуточный контроль</w:t>
      </w:r>
      <w:r w:rsidRPr="00BF69C9">
        <w:t xml:space="preserve"> осуществляется в форме </w:t>
      </w:r>
      <w:r>
        <w:t xml:space="preserve">зачета в конце 2 семестра и </w:t>
      </w:r>
      <w:r w:rsidRPr="00BF69C9">
        <w:t xml:space="preserve">экзамена в конце </w:t>
      </w:r>
      <w:r>
        <w:t>2</w:t>
      </w:r>
      <w:r w:rsidRPr="00BF69C9">
        <w:t xml:space="preserve"> семестра.</w:t>
      </w:r>
    </w:p>
    <w:p w:rsidR="00BA724F" w:rsidRPr="00BF69C9" w:rsidRDefault="00BA724F" w:rsidP="00BA724F">
      <w:pPr>
        <w:jc w:val="both"/>
      </w:pPr>
      <w:r w:rsidRPr="00BF69C9">
        <w:t xml:space="preserve">Итоговая оценка предполагает суммарный учет посещения занятий, степени активности </w:t>
      </w:r>
      <w:r w:rsidRPr="00EE2A6B">
        <w:rPr>
          <w:rFonts w:eastAsia="Times New Roman"/>
        </w:rPr>
        <w:t>обучающихся</w:t>
      </w:r>
      <w:r w:rsidRPr="00BF69C9">
        <w:t xml:space="preserve"> и выполнение им</w:t>
      </w:r>
      <w:r>
        <w:t>и</w:t>
      </w:r>
      <w:r w:rsidRPr="00BF69C9">
        <w:t xml:space="preserve"> всех видов аудиторной и самостоятельной работы.</w:t>
      </w:r>
    </w:p>
    <w:p w:rsidR="00BA724F" w:rsidRPr="00EE2A6B" w:rsidRDefault="00BA724F" w:rsidP="00BA724F">
      <w:pPr>
        <w:widowControl/>
        <w:tabs>
          <w:tab w:val="left" w:pos="708"/>
        </w:tabs>
        <w:suppressAutoHyphens w:val="0"/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 w:rsidRPr="00EE2A6B">
        <w:rPr>
          <w:rFonts w:eastAsia="Times New Roman"/>
          <w:b/>
        </w:rPr>
        <w:t xml:space="preserve">Контроль самостоятельной работы </w:t>
      </w:r>
      <w:r w:rsidRPr="00EE2A6B">
        <w:rPr>
          <w:rFonts w:eastAsia="Times New Roman"/>
        </w:rPr>
        <w:t>осуществляется в течение всего обучения. Формы контроля: устный опрос, собеседование, п</w:t>
      </w:r>
      <w:r w:rsidRPr="00BF69C9">
        <w:t>одготовка доклада.</w:t>
      </w:r>
      <w:r w:rsidRPr="00EE2A6B">
        <w:rPr>
          <w:rFonts w:eastAsia="Times New Roman"/>
        </w:rPr>
        <w:t xml:space="preserve"> Результаты контроля самостоятельной работы обучающихся учитываются при осуществлении промежуточного контроля по дисциплине.</w:t>
      </w:r>
    </w:p>
    <w:p w:rsidR="00BA724F" w:rsidRPr="00BF69C9" w:rsidRDefault="00BA724F" w:rsidP="00BA724F">
      <w:pPr>
        <w:jc w:val="both"/>
      </w:pPr>
      <w:r w:rsidRPr="00BF69C9">
        <w:t xml:space="preserve">Проведение консультаций включает обсуждение вопросов, вызывающих трудности при выполнении заданий для самостоятельной работы.  </w:t>
      </w:r>
    </w:p>
    <w:p w:rsidR="00BA724F" w:rsidRPr="00BF69C9" w:rsidRDefault="00BA724F" w:rsidP="00BA724F">
      <w:pPr>
        <w:spacing w:line="360" w:lineRule="auto"/>
        <w:rPr>
          <w:b/>
          <w:bCs/>
        </w:rPr>
      </w:pPr>
    </w:p>
    <w:p w:rsidR="00BA724F" w:rsidRPr="00EE2A6B" w:rsidRDefault="00BA724F" w:rsidP="00BA724F">
      <w:pPr>
        <w:spacing w:line="360" w:lineRule="auto"/>
        <w:ind w:left="720"/>
        <w:jc w:val="center"/>
        <w:rPr>
          <w:b/>
          <w:bCs/>
        </w:rPr>
      </w:pPr>
      <w:r w:rsidRPr="00EE2A6B">
        <w:rPr>
          <w:b/>
          <w:bCs/>
        </w:rPr>
        <w:t>Структура зачета и экзамена.</w:t>
      </w:r>
    </w:p>
    <w:p w:rsidR="00BA724F" w:rsidRPr="00B67D09" w:rsidRDefault="00BA724F" w:rsidP="00BA724F">
      <w:pPr>
        <w:pStyle w:val="a4"/>
        <w:spacing w:line="360" w:lineRule="auto"/>
        <w:ind w:left="0"/>
        <w:rPr>
          <w:b/>
          <w:bCs/>
        </w:rPr>
      </w:pPr>
    </w:p>
    <w:p w:rsidR="00BA724F" w:rsidRPr="00BF69C9" w:rsidRDefault="00BA724F" w:rsidP="00BA724F">
      <w:pPr>
        <w:ind w:firstLine="348"/>
        <w:jc w:val="both"/>
        <w:rPr>
          <w:rStyle w:val="c1"/>
        </w:rPr>
      </w:pPr>
      <w:r>
        <w:t>Зачет и э</w:t>
      </w:r>
      <w:r w:rsidRPr="00BF69C9">
        <w:t>кзамен складывается из у</w:t>
      </w:r>
      <w:r w:rsidRPr="00BF69C9">
        <w:rPr>
          <w:rStyle w:val="c1"/>
        </w:rPr>
        <w:t>стного ответа (</w:t>
      </w:r>
      <w:r w:rsidRPr="00BF69C9">
        <w:t>ответ на вопросы,</w:t>
      </w:r>
      <w:r w:rsidRPr="00BF69C9">
        <w:rPr>
          <w:rStyle w:val="c1"/>
        </w:rPr>
        <w:t xml:space="preserve"> </w:t>
      </w:r>
      <w:r w:rsidRPr="00BF69C9">
        <w:t>коллоквиум в виде опроса по основным понятиям курса)</w:t>
      </w:r>
      <w:r w:rsidRPr="00BF69C9">
        <w:rPr>
          <w:rStyle w:val="c1"/>
        </w:rPr>
        <w:t>, участия в дискуссионном собеседовании с преподавателем.</w:t>
      </w:r>
    </w:p>
    <w:p w:rsidR="00BA724F" w:rsidRPr="00BF69C9" w:rsidRDefault="00BA724F" w:rsidP="00BA724F">
      <w:pPr>
        <w:ind w:firstLine="348"/>
        <w:jc w:val="both"/>
      </w:pPr>
      <w:r w:rsidRPr="00BF69C9">
        <w:t xml:space="preserve">Знания, умения и владение предметом аспирантом оценивается по дифференцированной системе оценки наличия основных единиц компетенции. </w:t>
      </w:r>
    </w:p>
    <w:p w:rsidR="00BA724F" w:rsidRPr="00BF69C9" w:rsidRDefault="00BA724F" w:rsidP="00BA724F">
      <w:pPr>
        <w:ind w:left="539"/>
        <w:jc w:val="both"/>
      </w:pPr>
    </w:p>
    <w:p w:rsidR="00BA724F" w:rsidRDefault="00BA724F" w:rsidP="00BA724F">
      <w:pPr>
        <w:ind w:left="539"/>
        <w:jc w:val="center"/>
        <w:rPr>
          <w:rFonts w:eastAsia="Times New Roman"/>
          <w:b/>
          <w:lang w:eastAsia="en-US"/>
        </w:rPr>
      </w:pPr>
    </w:p>
    <w:p w:rsidR="00BA724F" w:rsidRPr="00EE2A6B" w:rsidRDefault="00BA724F" w:rsidP="00BA724F">
      <w:pPr>
        <w:ind w:left="360"/>
        <w:jc w:val="center"/>
        <w:rPr>
          <w:b/>
          <w:bCs/>
        </w:rPr>
      </w:pPr>
      <w:r w:rsidRPr="00EE2A6B">
        <w:rPr>
          <w:rFonts w:eastAsia="Times New Roman"/>
          <w:b/>
          <w:lang w:eastAsia="en-US"/>
        </w:rPr>
        <w:t xml:space="preserve">5. </w:t>
      </w:r>
      <w:r w:rsidRPr="00EE2A6B">
        <w:rPr>
          <w:b/>
          <w:bCs/>
        </w:rPr>
        <w:t>Методические рекомендации к организации</w:t>
      </w:r>
    </w:p>
    <w:p w:rsidR="00BA724F" w:rsidRPr="00EE2A6B" w:rsidRDefault="00BA724F" w:rsidP="00BA724F">
      <w:pPr>
        <w:ind w:left="360"/>
        <w:jc w:val="center"/>
        <w:rPr>
          <w:rFonts w:eastAsia="Times New Roman"/>
          <w:b/>
          <w:lang w:eastAsia="en-US"/>
        </w:rPr>
      </w:pPr>
      <w:r w:rsidRPr="00EE2A6B">
        <w:rPr>
          <w:b/>
          <w:bCs/>
        </w:rPr>
        <w:t>самостоятельной работы</w:t>
      </w:r>
      <w:r w:rsidRPr="00EE2A6B">
        <w:rPr>
          <w:rFonts w:eastAsia="Times New Roman"/>
          <w:lang w:eastAsia="en-US"/>
        </w:rPr>
        <w:t xml:space="preserve"> </w:t>
      </w:r>
      <w:r w:rsidRPr="00EE2A6B">
        <w:rPr>
          <w:rFonts w:eastAsia="Times New Roman"/>
          <w:b/>
          <w:lang w:eastAsia="en-US"/>
        </w:rPr>
        <w:t>обучающихся</w:t>
      </w:r>
    </w:p>
    <w:p w:rsidR="00BA724F" w:rsidRPr="0038195F" w:rsidRDefault="00BA724F" w:rsidP="00BA724F">
      <w:pPr>
        <w:jc w:val="center"/>
        <w:rPr>
          <w:b/>
          <w:bCs/>
          <w:sz w:val="28"/>
          <w:szCs w:val="28"/>
        </w:rPr>
      </w:pPr>
    </w:p>
    <w:p w:rsidR="00BA724F" w:rsidRPr="00EE2A6B" w:rsidRDefault="00BA724F" w:rsidP="00BA724F">
      <w:pPr>
        <w:ind w:firstLine="360"/>
        <w:jc w:val="both"/>
        <w:rPr>
          <w:bCs/>
        </w:rPr>
      </w:pPr>
      <w:r w:rsidRPr="00EE2A6B">
        <w:rPr>
          <w:bCs/>
        </w:rPr>
        <w:t xml:space="preserve">Самостоятельная работа </w:t>
      </w:r>
      <w:r w:rsidRPr="00EE2A6B">
        <w:rPr>
          <w:rFonts w:eastAsia="Times New Roman"/>
          <w:lang w:eastAsia="en-US"/>
        </w:rPr>
        <w:t xml:space="preserve">обучающихся </w:t>
      </w:r>
      <w:r w:rsidRPr="00EE2A6B">
        <w:rPr>
          <w:bCs/>
        </w:rPr>
        <w:t xml:space="preserve">направлена не только на углубленное изучение учебного материала, но и на выработку учебно-исследовательских умений и профессиональных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</w:rPr>
      </w:pPr>
      <w:r w:rsidRPr="007053AD">
        <w:rPr>
          <w:bCs/>
        </w:rPr>
        <w:t xml:space="preserve">С этой целью в содержание самостоятельной работы </w:t>
      </w:r>
      <w:r>
        <w:rPr>
          <w:bCs/>
        </w:rPr>
        <w:t>обучающихся</w:t>
      </w:r>
      <w:r w:rsidRPr="007053AD">
        <w:rPr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заданий.</w:t>
      </w:r>
    </w:p>
    <w:p w:rsidR="00BA724F" w:rsidRPr="006E327C" w:rsidRDefault="00BA724F" w:rsidP="00BA724F">
      <w:pPr>
        <w:jc w:val="both"/>
        <w:rPr>
          <w:rFonts w:cs="Times New Roman"/>
          <w:bCs/>
        </w:rPr>
      </w:pPr>
      <w:r w:rsidRPr="006E327C">
        <w:rPr>
          <w:rFonts w:cs="Times New Roman"/>
        </w:rPr>
        <w:tab/>
      </w:r>
      <w:r w:rsidRPr="006E327C">
        <w:rPr>
          <w:rFonts w:cs="Times New Roman"/>
          <w:bCs/>
        </w:rPr>
        <w:t>При освоении материала учебного курса рекомендуется идти от изучения теории того или иного вопроса к практике: от лекционного материала к рекомендуемой преподавателем литературе, а затем – к подготовке итогового контроля.</w:t>
      </w:r>
      <w:r>
        <w:rPr>
          <w:rFonts w:cs="Times New Roman"/>
          <w:bCs/>
        </w:rPr>
        <w:t xml:space="preserve">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Самостоятельная работа </w:t>
      </w:r>
      <w:r>
        <w:rPr>
          <w:rFonts w:eastAsia="Calibri" w:cs="Times New Roman"/>
          <w:lang w:eastAsia="en-US"/>
        </w:rPr>
        <w:t>обучающихся</w:t>
      </w:r>
      <w:r w:rsidRPr="006E327C">
        <w:rPr>
          <w:rFonts w:eastAsia="Calibri" w:cs="Times New Roman"/>
          <w:lang w:eastAsia="en-US"/>
        </w:rPr>
        <w:t xml:space="preserve"> </w:t>
      </w:r>
      <w:r w:rsidRPr="006E327C">
        <w:rPr>
          <w:rFonts w:cs="Times New Roman"/>
          <w:bCs/>
        </w:rPr>
        <w:t xml:space="preserve">направлена не только на углубленное </w:t>
      </w:r>
      <w:r w:rsidRPr="006E327C">
        <w:rPr>
          <w:rFonts w:cs="Times New Roman"/>
          <w:bCs/>
        </w:rPr>
        <w:lastRenderedPageBreak/>
        <w:t xml:space="preserve">изучение учебного материала, но и на выработку учебно-исследовательских умений и соответствующих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 этой целью в содержание самостоятельной работы </w:t>
      </w:r>
      <w:r>
        <w:rPr>
          <w:rFonts w:cs="Times New Roman"/>
          <w:bCs/>
        </w:rPr>
        <w:t>обучающихся</w:t>
      </w:r>
      <w:r w:rsidRPr="006E327C">
        <w:rPr>
          <w:rFonts w:cs="Times New Roman"/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заданий: 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Разработать план-конспект учебного занятия с учетом дидактических требований.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Подготовить реферат по теме курса.</w:t>
      </w:r>
    </w:p>
    <w:p w:rsidR="00BA724F" w:rsidRPr="007053AD" w:rsidRDefault="00BA724F" w:rsidP="00BA724F">
      <w:pPr>
        <w:ind w:firstLine="709"/>
        <w:jc w:val="both"/>
        <w:rPr>
          <w:bCs/>
        </w:rPr>
      </w:pPr>
    </w:p>
    <w:p w:rsidR="00BA724F" w:rsidRDefault="00BA724F" w:rsidP="00BA724F">
      <w:pPr>
        <w:jc w:val="center"/>
        <w:rPr>
          <w:rFonts w:cs="Times New Roman"/>
          <w:b/>
          <w:bCs/>
        </w:rPr>
      </w:pPr>
      <w:r w:rsidRPr="00924C11">
        <w:rPr>
          <w:rFonts w:cs="Times New Roman"/>
          <w:b/>
          <w:bCs/>
        </w:rPr>
        <w:t>Аттестационные требования.</w:t>
      </w:r>
    </w:p>
    <w:p w:rsidR="00CA5727" w:rsidRPr="00AC321D" w:rsidRDefault="00CA5727" w:rsidP="00CA5727">
      <w:pPr>
        <w:jc w:val="center"/>
        <w:rPr>
          <w:rFonts w:cs="Times New Roman"/>
          <w:b/>
          <w:caps/>
        </w:rPr>
      </w:pPr>
      <w:r w:rsidRPr="00AC321D">
        <w:rPr>
          <w:rFonts w:cs="Times New Roman"/>
          <w:b/>
        </w:rPr>
        <w:t>Контрольные вопросы по курсу к зачету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Что такое церковно-славянский язык и почему мы его изучаем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Для чего создавалась славянская азбука.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>
        <w:rPr>
          <w:rFonts w:cs="Times New Roman"/>
        </w:rPr>
        <w:t>Церковнославянская азбука.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Первые книги на Руси.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proofErr w:type="gramStart"/>
      <w:r w:rsidRPr="002C62F7">
        <w:rPr>
          <w:rFonts w:cs="Times New Roman"/>
        </w:rPr>
        <w:t xml:space="preserve">Буквы славянской азбуки, схожие с современными (аз, есть, иже(4); он, еры, ю (5); буки, веди, глаголь, добро (7); живете, земля, </w:t>
      </w:r>
      <w:proofErr w:type="spellStart"/>
      <w:r w:rsidRPr="002C62F7">
        <w:rPr>
          <w:rFonts w:cs="Times New Roman"/>
        </w:rPr>
        <w:t>како</w:t>
      </w:r>
      <w:proofErr w:type="spellEnd"/>
      <w:r w:rsidRPr="002C62F7">
        <w:rPr>
          <w:rFonts w:cs="Times New Roman"/>
        </w:rPr>
        <w:t xml:space="preserve">, люди (9); мыслете, наш, покой, </w:t>
      </w:r>
      <w:proofErr w:type="spellStart"/>
      <w:r w:rsidRPr="002C62F7">
        <w:rPr>
          <w:rFonts w:cs="Times New Roman"/>
        </w:rPr>
        <w:t>рцы</w:t>
      </w:r>
      <w:proofErr w:type="spellEnd"/>
      <w:r w:rsidRPr="002C62F7">
        <w:rPr>
          <w:rFonts w:cs="Times New Roman"/>
        </w:rPr>
        <w:t xml:space="preserve"> (11); слово, твердь, ферт, хер (13); </w:t>
      </w:r>
      <w:proofErr w:type="spellStart"/>
      <w:r w:rsidRPr="002C62F7">
        <w:rPr>
          <w:rFonts w:cs="Times New Roman"/>
        </w:rPr>
        <w:t>цы</w:t>
      </w:r>
      <w:proofErr w:type="spellEnd"/>
      <w:r w:rsidRPr="002C62F7">
        <w:rPr>
          <w:rFonts w:cs="Times New Roman"/>
        </w:rPr>
        <w:t xml:space="preserve">, червь, </w:t>
      </w:r>
      <w:proofErr w:type="spellStart"/>
      <w:r w:rsidRPr="002C62F7">
        <w:rPr>
          <w:rFonts w:cs="Times New Roman"/>
        </w:rPr>
        <w:t>ша</w:t>
      </w:r>
      <w:proofErr w:type="spellEnd"/>
      <w:r w:rsidRPr="002C62F7">
        <w:rPr>
          <w:rFonts w:cs="Times New Roman"/>
        </w:rPr>
        <w:t>, ща (15).</w:t>
      </w:r>
      <w:proofErr w:type="gramEnd"/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Названия букв славянской азбуки.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 xml:space="preserve">Буквы ер и </w:t>
      </w:r>
      <w:proofErr w:type="spellStart"/>
      <w:r w:rsidRPr="002C62F7">
        <w:rPr>
          <w:rFonts w:cs="Times New Roman"/>
        </w:rPr>
        <w:t>ерь</w:t>
      </w:r>
      <w:proofErr w:type="spellEnd"/>
      <w:r w:rsidRPr="002C62F7">
        <w:rPr>
          <w:rFonts w:cs="Times New Roman"/>
        </w:rPr>
        <w:t>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 xml:space="preserve">Буквы, передающие один и тот же звук. Буквы есть и ять; иже и </w:t>
      </w:r>
      <w:proofErr w:type="spellStart"/>
      <w:r w:rsidRPr="002C62F7">
        <w:rPr>
          <w:rFonts w:cs="Times New Roman"/>
        </w:rPr>
        <w:t>и</w:t>
      </w:r>
      <w:proofErr w:type="spellEnd"/>
      <w:r w:rsidRPr="002C62F7">
        <w:rPr>
          <w:rFonts w:cs="Times New Roman"/>
        </w:rPr>
        <w:t>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 xml:space="preserve">Буквы юс малый и я; он и омега. 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Буквы земля и зело.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Буквы ферт и фита.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 xml:space="preserve">Буквы </w:t>
      </w:r>
      <w:proofErr w:type="spellStart"/>
      <w:r w:rsidRPr="002C62F7">
        <w:rPr>
          <w:rFonts w:cs="Times New Roman"/>
        </w:rPr>
        <w:t>ук</w:t>
      </w:r>
      <w:proofErr w:type="spellEnd"/>
      <w:r w:rsidRPr="002C62F7">
        <w:rPr>
          <w:rFonts w:cs="Times New Roman"/>
        </w:rPr>
        <w:t xml:space="preserve"> и ижица.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Буквы кси и пси.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Буква от.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 xml:space="preserve">Буквы славянской азбуки, схожие с современными. 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 xml:space="preserve">Буквы славянской азбуки, отличные от современных. </w:t>
      </w:r>
    </w:p>
    <w:p w:rsidR="00CA5727" w:rsidRPr="005A73AB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5A73AB">
        <w:rPr>
          <w:rFonts w:cs="Times New Roman"/>
        </w:rPr>
        <w:t xml:space="preserve">Знаки ударения: </w:t>
      </w:r>
      <w:proofErr w:type="spellStart"/>
      <w:r w:rsidRPr="005A73AB">
        <w:rPr>
          <w:rFonts w:cs="Times New Roman"/>
        </w:rPr>
        <w:t>оксия</w:t>
      </w:r>
      <w:proofErr w:type="spellEnd"/>
      <w:r w:rsidRPr="005A73AB">
        <w:rPr>
          <w:rFonts w:cs="Times New Roman"/>
        </w:rPr>
        <w:t xml:space="preserve">, </w:t>
      </w:r>
      <w:proofErr w:type="spellStart"/>
      <w:r w:rsidRPr="005A73AB">
        <w:rPr>
          <w:rFonts w:cs="Times New Roman"/>
        </w:rPr>
        <w:t>вария</w:t>
      </w:r>
      <w:proofErr w:type="spellEnd"/>
      <w:r w:rsidRPr="005A73AB">
        <w:rPr>
          <w:rFonts w:cs="Times New Roman"/>
        </w:rPr>
        <w:t xml:space="preserve"> и камора. Правила их употребления. 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 xml:space="preserve">Знак придыхания: </w:t>
      </w:r>
      <w:proofErr w:type="spellStart"/>
      <w:r w:rsidRPr="002C62F7">
        <w:rPr>
          <w:rFonts w:cs="Times New Roman"/>
        </w:rPr>
        <w:t>исо</w:t>
      </w:r>
      <w:proofErr w:type="spellEnd"/>
      <w:r w:rsidRPr="002C62F7">
        <w:rPr>
          <w:rFonts w:cs="Times New Roman"/>
        </w:rPr>
        <w:t>, апостроф. Правила их употребления. Упражнения в письме.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Знаки титла: простое и буквенное титло. Упражнения в письме.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Слова под титлом. Упражнения в письме.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Правила чтения по-церковнославянски. Употребление заглавных букв.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Церковнославянские слова в русском языке.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Употребление знаков препинания в ЦС текстах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Буквы, обозначающие единицы и числа второго десятка.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Буквы, обозначающие десятки.</w:t>
      </w:r>
    </w:p>
    <w:p w:rsidR="00CA5727" w:rsidRPr="002C62F7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</w:rPr>
      </w:pPr>
      <w:r w:rsidRPr="002C62F7">
        <w:rPr>
          <w:rFonts w:cs="Times New Roman"/>
        </w:rPr>
        <w:t>Буквы, обозначающие сотни и тысячи.</w:t>
      </w:r>
    </w:p>
    <w:p w:rsidR="00CA5727" w:rsidRPr="00C12553" w:rsidRDefault="00CA5727" w:rsidP="00CA5727">
      <w:pPr>
        <w:numPr>
          <w:ilvl w:val="0"/>
          <w:numId w:val="20"/>
        </w:numPr>
        <w:ind w:left="0" w:firstLine="0"/>
        <w:jc w:val="both"/>
        <w:rPr>
          <w:rFonts w:cs="Times New Roman"/>
          <w:color w:val="333333"/>
        </w:rPr>
      </w:pPr>
      <w:r w:rsidRPr="002C62F7">
        <w:rPr>
          <w:rFonts w:cs="Times New Roman"/>
        </w:rPr>
        <w:t>Ударение, простое и буквенное титло, изображение чисел, знаки препинания.</w:t>
      </w:r>
    </w:p>
    <w:p w:rsidR="00CA5727" w:rsidRPr="00C12553" w:rsidRDefault="00CA5727" w:rsidP="00CA5727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Вопросы к </w:t>
      </w:r>
      <w:r w:rsidRPr="00C12553">
        <w:rPr>
          <w:rFonts w:cs="Times New Roman"/>
          <w:b/>
          <w:bCs/>
        </w:rPr>
        <w:t>экзамену: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5A73AB">
        <w:rPr>
          <w:rFonts w:eastAsia="Calibri" w:cs="Times New Roman"/>
          <w:kern w:val="0"/>
          <w:lang w:eastAsia="en-US" w:bidi="ar-SA"/>
        </w:rPr>
        <w:t xml:space="preserve">История создания письменного языка славян. Возникновение славянской письменности. Просветительская деятельность святых Кирилла и </w:t>
      </w:r>
      <w:proofErr w:type="spellStart"/>
      <w:r w:rsidRPr="005A73AB">
        <w:rPr>
          <w:rFonts w:eastAsia="Calibri" w:cs="Times New Roman"/>
          <w:kern w:val="0"/>
          <w:lang w:eastAsia="en-US" w:bidi="ar-SA"/>
        </w:rPr>
        <w:t>Мефодия</w:t>
      </w:r>
      <w:proofErr w:type="spellEnd"/>
      <w:r w:rsidRPr="005A73AB">
        <w:rPr>
          <w:rFonts w:eastAsia="Calibri" w:cs="Times New Roman"/>
          <w:kern w:val="0"/>
          <w:lang w:eastAsia="en-US" w:bidi="ar-SA"/>
        </w:rPr>
        <w:t xml:space="preserve">. 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5A73AB">
        <w:rPr>
          <w:rFonts w:eastAsia="Calibri" w:cs="Times New Roman"/>
          <w:kern w:val="0"/>
          <w:lang w:eastAsia="en-US" w:bidi="ar-SA"/>
        </w:rPr>
        <w:t>Трудности церковнославянской азбуки. Современный церковнославянский алфавит. Особенности церковнославянской орфографии.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5A73AB">
        <w:rPr>
          <w:rFonts w:eastAsia="Calibri" w:cs="Times New Roman"/>
          <w:kern w:val="0"/>
          <w:lang w:eastAsia="en-US" w:bidi="ar-SA"/>
        </w:rPr>
        <w:t>Главные особенности церковнославянской орфоэпии. Основные правила чтения. Знаки препинания в церковнославянском языке.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5A73AB">
        <w:rPr>
          <w:rFonts w:eastAsia="Calibri" w:cs="Times New Roman"/>
          <w:kern w:val="0"/>
          <w:lang w:eastAsia="en-US" w:bidi="ar-SA"/>
        </w:rPr>
        <w:t>Надстрочные знаки. Придыхание. Ударения в церковнославянском языке.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5A73AB">
        <w:rPr>
          <w:rFonts w:eastAsia="Calibri" w:cs="Times New Roman"/>
          <w:kern w:val="0"/>
          <w:lang w:eastAsia="en-US" w:bidi="ar-SA"/>
        </w:rPr>
        <w:t>Надстрочные знаки. Титло простое. Титло буквенное.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5A73AB">
        <w:rPr>
          <w:rFonts w:eastAsia="Calibri" w:cs="Times New Roman"/>
          <w:kern w:val="0"/>
          <w:lang w:eastAsia="en-US" w:bidi="ar-SA"/>
        </w:rPr>
        <w:t xml:space="preserve">Изображение чисел в церковнославянском языке. Обозначение чисел от 1 до 19. </w:t>
      </w:r>
      <w:r w:rsidRPr="005A73AB">
        <w:rPr>
          <w:rFonts w:eastAsia="Calibri" w:cs="Times New Roman"/>
          <w:kern w:val="0"/>
          <w:lang w:eastAsia="en-US" w:bidi="ar-SA"/>
        </w:rPr>
        <w:lastRenderedPageBreak/>
        <w:t xml:space="preserve">Буквы, обозначающие десятки. 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5A73AB">
        <w:rPr>
          <w:rFonts w:eastAsia="Calibri" w:cs="Times New Roman"/>
          <w:kern w:val="0"/>
          <w:lang w:eastAsia="en-US" w:bidi="ar-SA"/>
        </w:rPr>
        <w:t xml:space="preserve">Изображение чисел в церковнославянском языке. Буквы, обозначающие сотни, </w:t>
      </w:r>
      <w:r>
        <w:rPr>
          <w:rFonts w:eastAsia="Calibri" w:cs="Times New Roman"/>
          <w:kern w:val="0"/>
          <w:lang w:eastAsia="en-US" w:bidi="ar-SA"/>
        </w:rPr>
        <w:t>о</w:t>
      </w:r>
      <w:r w:rsidRPr="005A73AB">
        <w:rPr>
          <w:rFonts w:eastAsia="Calibri" w:cs="Times New Roman"/>
          <w:kern w:val="0"/>
          <w:lang w:eastAsia="en-US" w:bidi="ar-SA"/>
        </w:rPr>
        <w:t>бозначение тысяч. Летоисчисление.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5A73AB">
        <w:rPr>
          <w:rFonts w:eastAsia="Calibri" w:cs="Times New Roman"/>
          <w:kern w:val="0"/>
          <w:lang w:eastAsia="en-US" w:bidi="ar-SA"/>
        </w:rPr>
        <w:t>Звуковые особенности церковнославянского языка. Церковнославянское неполногласие и русское полногласие. Звуковые особенности в начале и в корне слова.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eastAsia="Calibri" w:cs="Times New Roman"/>
          <w:kern w:val="0"/>
          <w:lang w:eastAsia="en-US" w:bidi="ar-SA"/>
        </w:rPr>
      </w:pPr>
      <w:r w:rsidRPr="005A73AB">
        <w:rPr>
          <w:rFonts w:eastAsia="Calibri" w:cs="Times New Roman"/>
          <w:kern w:val="0"/>
          <w:lang w:eastAsia="en-US" w:bidi="ar-SA"/>
        </w:rPr>
        <w:t>Лексика церковнославянского языка. Об изменении значений церковнославянских слов в русском языке.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>Грамматические свойства глагола. Глагол в настоящем и будущем времени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 xml:space="preserve">Глаголы архаического спряжения. Спряжение глагола </w:t>
      </w:r>
      <w:proofErr w:type="spellStart"/>
      <w:r w:rsidRPr="005A73AB">
        <w:rPr>
          <w:rFonts w:cs="Times New Roman"/>
          <w:bCs/>
        </w:rPr>
        <w:t>быти</w:t>
      </w:r>
      <w:proofErr w:type="spellEnd"/>
      <w:r w:rsidRPr="005A73AB">
        <w:rPr>
          <w:rFonts w:cs="Times New Roman"/>
          <w:bCs/>
        </w:rPr>
        <w:t xml:space="preserve"> в настоящем времени. Отрицательная форма.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>Система прошедших времен в церковнославянском языке. Глагол в аористе.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>Глагол в имперфекте. Глагол в перфекте.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>Глагол в плюсквамперфекте. Глагол в будущем сложном времени.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>Глагол в повелительном наклонении. Глагол в сослагательном и в желательном наклонениях.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>Грамматические свойства имени существительного. Типы склонения имен существительных. Чередование согласных при склонении.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>Первое склонение имен существительных. Второе склонение имен существительных.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>Третье склонение имен существительных. Четвёртое склонение имен существительных.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</w:rPr>
      </w:pPr>
      <w:r w:rsidRPr="005A73AB">
        <w:rPr>
          <w:rFonts w:cs="Times New Roman"/>
          <w:bCs/>
        </w:rPr>
        <w:t xml:space="preserve">Учебно-методическое и информационное обеспечение дисциплины  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  <w:iCs/>
        </w:rPr>
      </w:pPr>
      <w:r w:rsidRPr="005A73AB">
        <w:rPr>
          <w:rFonts w:cs="Times New Roman"/>
          <w:bCs/>
          <w:iCs/>
        </w:rPr>
        <w:t>Местоимение и его значения. Личные местоимения 1 и 2 лица и возвратное местоимение.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  <w:iCs/>
        </w:rPr>
      </w:pPr>
      <w:r w:rsidRPr="005A73AB">
        <w:rPr>
          <w:rFonts w:cs="Times New Roman"/>
          <w:bCs/>
          <w:iCs/>
        </w:rPr>
        <w:t>Местоимение. Личные местоимения 3-го лица. Относительные местоимения.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  <w:iCs/>
        </w:rPr>
      </w:pPr>
      <w:r w:rsidRPr="005A73AB">
        <w:rPr>
          <w:rFonts w:cs="Times New Roman"/>
          <w:bCs/>
          <w:iCs/>
        </w:rPr>
        <w:t>Имя прилагательное. Степени сравнения имен прилагательных.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  <w:iCs/>
        </w:rPr>
      </w:pPr>
      <w:r w:rsidRPr="005A73AB">
        <w:rPr>
          <w:rFonts w:cs="Times New Roman"/>
          <w:bCs/>
          <w:iCs/>
        </w:rPr>
        <w:t xml:space="preserve">Имя прилагательное. Склонение кратких и полных имен прилагательных. 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  <w:iCs/>
        </w:rPr>
      </w:pPr>
      <w:r w:rsidRPr="005A73AB">
        <w:rPr>
          <w:rFonts w:cs="Times New Roman"/>
          <w:bCs/>
          <w:iCs/>
        </w:rPr>
        <w:t>Имя числительное. Количественные имена числительные. Порядковые имена числительные.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  <w:iCs/>
        </w:rPr>
      </w:pPr>
      <w:r w:rsidRPr="005A73AB">
        <w:rPr>
          <w:rFonts w:cs="Times New Roman"/>
          <w:bCs/>
          <w:iCs/>
        </w:rPr>
        <w:t>Причастия действительного залога настоящего времени. Причастия действительного залога прошедшего времени.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  <w:iCs/>
        </w:rPr>
      </w:pPr>
      <w:r w:rsidRPr="005A73AB">
        <w:rPr>
          <w:rFonts w:cs="Times New Roman"/>
          <w:bCs/>
          <w:iCs/>
        </w:rPr>
        <w:t>Причастия страдательного залога настоящего и прошедшего времени.</w:t>
      </w:r>
    </w:p>
    <w:p w:rsidR="00CA5727" w:rsidRPr="005A73AB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  <w:iCs/>
        </w:rPr>
      </w:pPr>
      <w:r w:rsidRPr="005A73AB">
        <w:rPr>
          <w:rFonts w:cs="Times New Roman"/>
          <w:bCs/>
          <w:iCs/>
        </w:rPr>
        <w:t>Неизменяемые части речи. Наречие. Союз. Предлог. Значение слова яко.</w:t>
      </w:r>
    </w:p>
    <w:p w:rsidR="00CA5727" w:rsidRDefault="00CA5727" w:rsidP="00CA5727">
      <w:pPr>
        <w:numPr>
          <w:ilvl w:val="0"/>
          <w:numId w:val="21"/>
        </w:numPr>
        <w:ind w:left="0" w:firstLine="0"/>
        <w:jc w:val="both"/>
        <w:rPr>
          <w:rFonts w:cs="Times New Roman"/>
          <w:bCs/>
          <w:iCs/>
        </w:rPr>
      </w:pPr>
      <w:r w:rsidRPr="005A73AB">
        <w:rPr>
          <w:rFonts w:cs="Times New Roman"/>
          <w:bCs/>
          <w:iCs/>
        </w:rPr>
        <w:t>Особенности синтаксиса церковнославянского языка. Двойной винительный. Синтаксический оборот «Дательный самостоятельный».</w:t>
      </w:r>
    </w:p>
    <w:p w:rsidR="00CA5727" w:rsidRDefault="00CA5727" w:rsidP="00CA5727">
      <w:pPr>
        <w:jc w:val="both"/>
        <w:rPr>
          <w:rFonts w:cs="Times New Roman"/>
          <w:bCs/>
          <w:iCs/>
        </w:rPr>
      </w:pPr>
    </w:p>
    <w:p w:rsidR="00AA161A" w:rsidRDefault="00AA161A" w:rsidP="00AA161A">
      <w:pPr>
        <w:pStyle w:val="a4"/>
        <w:jc w:val="center"/>
        <w:rPr>
          <w:rFonts w:cs="Times New Roman"/>
          <w:b/>
          <w:bCs/>
        </w:rPr>
      </w:pPr>
      <w:r w:rsidRPr="00EE2A6B">
        <w:rPr>
          <w:rFonts w:cs="Times New Roman"/>
          <w:b/>
          <w:bCs/>
        </w:rPr>
        <w:t>Темы докладов</w:t>
      </w:r>
    </w:p>
    <w:p w:rsidR="00CA5727" w:rsidRPr="00EE2A6B" w:rsidRDefault="00CA5727" w:rsidP="00AA161A">
      <w:pPr>
        <w:pStyle w:val="a4"/>
        <w:jc w:val="center"/>
        <w:rPr>
          <w:rFonts w:cs="Times New Roman"/>
          <w:b/>
          <w:bCs/>
        </w:rPr>
      </w:pPr>
    </w:p>
    <w:p w:rsidR="00CA5727" w:rsidRPr="00CA5727" w:rsidRDefault="00CA5727" w:rsidP="00CA5727">
      <w:r w:rsidRPr="00CA5727">
        <w:rPr>
          <w:b/>
        </w:rPr>
        <w:t>Тема 1. Основы знаний о начале славянской письменности</w:t>
      </w:r>
      <w:r w:rsidRPr="00CA5727">
        <w:t xml:space="preserve">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Роли святых равноапостольных Кирилла и </w:t>
      </w:r>
      <w:proofErr w:type="spellStart"/>
      <w:r w:rsidRPr="00CA5727">
        <w:t>Мефодия</w:t>
      </w:r>
      <w:proofErr w:type="spellEnd"/>
      <w:r w:rsidRPr="00CA5727">
        <w:t xml:space="preserve"> в просвещении славян</w:t>
      </w:r>
      <w:r>
        <w:t>.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Основные вехи истории церковнославянского языка.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Начало славянского письма.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Жизнь и труды святых равноапостольных Кирилла и </w:t>
      </w:r>
      <w:proofErr w:type="spellStart"/>
      <w:r w:rsidRPr="00CA5727">
        <w:t>Мефодия</w:t>
      </w:r>
      <w:proofErr w:type="spellEnd"/>
      <w:r w:rsidRPr="00CA5727">
        <w:t xml:space="preserve">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Славянские азбуки – глаголица и кириллица.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Славянская письменность в Болгарии и Киевской Руси.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Москва – центр славянской письменности и культуры.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Церковнославянская лексика. </w:t>
      </w:r>
    </w:p>
    <w:p w:rsidR="00CA5727" w:rsidRPr="00CA5727" w:rsidRDefault="00CA5727" w:rsidP="00CA5727">
      <w:r w:rsidRPr="00CA5727">
        <w:rPr>
          <w:b/>
        </w:rPr>
        <w:t xml:space="preserve">Тема 2. Основы лингвистических знаний: фонетика, </w:t>
      </w:r>
      <w:proofErr w:type="spellStart"/>
      <w:r w:rsidRPr="00CA5727">
        <w:rPr>
          <w:b/>
        </w:rPr>
        <w:t>морфемика</w:t>
      </w:r>
      <w:proofErr w:type="spellEnd"/>
      <w:r w:rsidRPr="00CA5727">
        <w:rPr>
          <w:b/>
        </w:rPr>
        <w:t xml:space="preserve"> и словообразование, лексика, грамматика ЦСЯ, основные сведения его исторического развития.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Графика.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Орфография.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Азбука славянская.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lastRenderedPageBreak/>
        <w:t xml:space="preserve">. Названия букв славянской азбуки.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>Церковнославянские буквы, сходные с современными русскими и отличные от них.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Древние азбуки и буквари.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Надстрочные знаки и знаки препинания.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Правила употребления знаков ударения, придыхания.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Знаки титла.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Числовое значение букв.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Обозначение единиц, десятков, сотен, тысяч. </w:t>
      </w:r>
    </w:p>
    <w:p w:rsidR="00CA5727" w:rsidRP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Правила употребления букв, заимствованных из греческого: «кси», «пси», «ферт» и «фита». </w:t>
      </w:r>
    </w:p>
    <w:p w:rsidR="00CA5727" w:rsidRPr="00CA5727" w:rsidRDefault="00CA5727" w:rsidP="00CA5727">
      <w:r w:rsidRPr="00CA5727">
        <w:rPr>
          <w:b/>
        </w:rPr>
        <w:t>Тема 3. Основы лингвистических знаний</w:t>
      </w:r>
      <w:r w:rsidRPr="00CA5727">
        <w:t xml:space="preserve">: </w:t>
      </w:r>
      <w:r w:rsidRPr="00CA5727">
        <w:rPr>
          <w:b/>
        </w:rPr>
        <w:t xml:space="preserve">фонетика, </w:t>
      </w:r>
      <w:proofErr w:type="spellStart"/>
      <w:r w:rsidRPr="00CA5727">
        <w:rPr>
          <w:b/>
        </w:rPr>
        <w:t>морфемика</w:t>
      </w:r>
      <w:proofErr w:type="spellEnd"/>
      <w:r w:rsidRPr="00CA5727">
        <w:rPr>
          <w:b/>
        </w:rPr>
        <w:t xml:space="preserve"> и словообразование, лексика, грамматика ЦСЯ, основные сведения его исторического развития.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>Восприятие и понимание звуча</w:t>
      </w:r>
      <w:r>
        <w:t>щего церковнославянского языка.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Церковнославянская лексика.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Церковнославянизмы в современном русском языке и их стилистические особенности.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Словарные слова (употребляемые в Псалтири, Евангелии и наиболее распространенных </w:t>
      </w:r>
      <w:proofErr w:type="spellStart"/>
      <w:r w:rsidRPr="00CA5727">
        <w:t>гимнографических</w:t>
      </w:r>
      <w:proofErr w:type="spellEnd"/>
      <w:r w:rsidRPr="00CA5727">
        <w:t xml:space="preserve"> текстах: тропарях, кондаках, </w:t>
      </w:r>
      <w:proofErr w:type="spellStart"/>
      <w:r w:rsidRPr="00CA5727">
        <w:t>прокимнах</w:t>
      </w:r>
      <w:proofErr w:type="spellEnd"/>
      <w:r w:rsidRPr="00CA5727">
        <w:t>, антифонах и др.)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>Церковнославянская морфология.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Имя существительное, значение и употребление.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Глагол, значение и употребление.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>Причастие.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>Церковнославянские предлоги, союзы и частицы, отличные от современных русских.</w:t>
      </w:r>
    </w:p>
    <w:p w:rsidR="00CA5727" w:rsidRP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Церковнославянский синтаксис. </w:t>
      </w:r>
    </w:p>
    <w:p w:rsidR="00CA5727" w:rsidRPr="00CA5727" w:rsidRDefault="00CA5727" w:rsidP="00CA5727">
      <w:pPr>
        <w:rPr>
          <w:b/>
          <w:bCs/>
        </w:rPr>
      </w:pPr>
      <w:r w:rsidRPr="00CA5727">
        <w:rPr>
          <w:b/>
        </w:rPr>
        <w:t>Тема 4. Г</w:t>
      </w:r>
      <w:r w:rsidRPr="00CA5727">
        <w:rPr>
          <w:b/>
          <w:bCs/>
        </w:rPr>
        <w:t>рафика, орфография, орфоэпия, мелодекламация ЦСЯ.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Первоначальные понятия высокого стиля речи.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Церковнославянская лексика.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Семантические группы слов.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Церковнославянизмы в современном русском языке и их стилистические особенности.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Словарные слова (употребляемые в Псалтири, Евангелии и наиболее распространенных </w:t>
      </w:r>
      <w:proofErr w:type="spellStart"/>
      <w:r w:rsidRPr="00CA5727">
        <w:t>гимнографических</w:t>
      </w:r>
      <w:proofErr w:type="spellEnd"/>
      <w:r w:rsidRPr="00CA5727">
        <w:t xml:space="preserve"> текстах: тропарях, кондаках, </w:t>
      </w:r>
      <w:proofErr w:type="spellStart"/>
      <w:r w:rsidRPr="00CA5727">
        <w:t>прокимнах</w:t>
      </w:r>
      <w:proofErr w:type="spellEnd"/>
      <w:r w:rsidRPr="00CA5727">
        <w:t xml:space="preserve">, антифонах и др.)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Правила церковнославянской пунктуации.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 xml:space="preserve">Церковнославянские знаки препинания и их сравнение с русскими. </w:t>
      </w:r>
    </w:p>
    <w:p w:rsidR="00CA5727" w:rsidRDefault="00CA5727" w:rsidP="00CA5727">
      <w:pPr>
        <w:pStyle w:val="a4"/>
        <w:numPr>
          <w:ilvl w:val="0"/>
          <w:numId w:val="22"/>
        </w:numPr>
        <w:ind w:left="0" w:firstLine="0"/>
      </w:pPr>
      <w:r w:rsidRPr="00CA5727">
        <w:t>Употребление запятой, точки, двоеточия; малой точки (русская точка с запятой), двоеточия (русское многоточие), точки с запятой (русский вопросительный знак), удивительного (восклицательного знака</w:t>
      </w:r>
      <w:r>
        <w:t>), знаки вместительные (скобки).</w:t>
      </w:r>
    </w:p>
    <w:sectPr w:rsidR="00CA5727" w:rsidSect="00DC62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B5" w:rsidRDefault="00102EB5" w:rsidP="00DC62B0">
      <w:r>
        <w:separator/>
      </w:r>
    </w:p>
  </w:endnote>
  <w:endnote w:type="continuationSeparator" w:id="0">
    <w:p w:rsidR="00102EB5" w:rsidRDefault="00102EB5" w:rsidP="00D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583796"/>
      <w:docPartObj>
        <w:docPartGallery w:val="Page Numbers (Bottom of Page)"/>
        <w:docPartUnique/>
      </w:docPartObj>
    </w:sdtPr>
    <w:sdtContent>
      <w:p w:rsidR="00DC62B0" w:rsidRDefault="00DC62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C62B0" w:rsidRDefault="00DC62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B5" w:rsidRDefault="00102EB5" w:rsidP="00DC62B0">
      <w:r>
        <w:separator/>
      </w:r>
    </w:p>
  </w:footnote>
  <w:footnote w:type="continuationSeparator" w:id="0">
    <w:p w:rsidR="00102EB5" w:rsidRDefault="00102EB5" w:rsidP="00DC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F97"/>
    <w:multiLevelType w:val="hybridMultilevel"/>
    <w:tmpl w:val="F858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4F30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9341DA"/>
    <w:multiLevelType w:val="hybridMultilevel"/>
    <w:tmpl w:val="BB74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4627E"/>
    <w:multiLevelType w:val="hybridMultilevel"/>
    <w:tmpl w:val="99EE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6773"/>
    <w:multiLevelType w:val="hybridMultilevel"/>
    <w:tmpl w:val="0968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3774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0FD2660"/>
    <w:multiLevelType w:val="hybridMultilevel"/>
    <w:tmpl w:val="BF76B1E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1A567C"/>
    <w:multiLevelType w:val="hybridMultilevel"/>
    <w:tmpl w:val="44AA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7340D"/>
    <w:multiLevelType w:val="hybridMultilevel"/>
    <w:tmpl w:val="8EEE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47BE"/>
    <w:multiLevelType w:val="hybridMultilevel"/>
    <w:tmpl w:val="0568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D4B35"/>
    <w:multiLevelType w:val="hybridMultilevel"/>
    <w:tmpl w:val="DF242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145D27"/>
    <w:multiLevelType w:val="hybridMultilevel"/>
    <w:tmpl w:val="D7A0B11A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111F"/>
    <w:multiLevelType w:val="hybridMultilevel"/>
    <w:tmpl w:val="07827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C7699A"/>
    <w:multiLevelType w:val="hybridMultilevel"/>
    <w:tmpl w:val="E7D0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AD7"/>
    <w:multiLevelType w:val="hybridMultilevel"/>
    <w:tmpl w:val="2934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45DB4"/>
    <w:multiLevelType w:val="hybridMultilevel"/>
    <w:tmpl w:val="AA40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5D63"/>
    <w:multiLevelType w:val="hybridMultilevel"/>
    <w:tmpl w:val="AF5E342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A60736"/>
    <w:multiLevelType w:val="hybridMultilevel"/>
    <w:tmpl w:val="FE780246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7A20A4"/>
    <w:multiLevelType w:val="hybridMultilevel"/>
    <w:tmpl w:val="CB7293CC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CC4E81"/>
    <w:multiLevelType w:val="hybridMultilevel"/>
    <w:tmpl w:val="A7C8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4194A"/>
    <w:multiLevelType w:val="hybridMultilevel"/>
    <w:tmpl w:val="8EEE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63C67"/>
    <w:multiLevelType w:val="hybridMultilevel"/>
    <w:tmpl w:val="18C0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12"/>
  </w:num>
  <w:num w:numId="6">
    <w:abstractNumId w:val="18"/>
  </w:num>
  <w:num w:numId="7">
    <w:abstractNumId w:val="17"/>
  </w:num>
  <w:num w:numId="8">
    <w:abstractNumId w:val="7"/>
  </w:num>
  <w:num w:numId="9">
    <w:abstractNumId w:val="19"/>
  </w:num>
  <w:num w:numId="10">
    <w:abstractNumId w:val="12"/>
  </w:num>
  <w:num w:numId="11">
    <w:abstractNumId w:val="2"/>
  </w:num>
  <w:num w:numId="12">
    <w:abstractNumId w:val="3"/>
  </w:num>
  <w:num w:numId="13">
    <w:abstractNumId w:val="13"/>
  </w:num>
  <w:num w:numId="14">
    <w:abstractNumId w:val="21"/>
  </w:num>
  <w:num w:numId="15">
    <w:abstractNumId w:val="9"/>
  </w:num>
  <w:num w:numId="16">
    <w:abstractNumId w:val="15"/>
  </w:num>
  <w:num w:numId="17">
    <w:abstractNumId w:val="11"/>
  </w:num>
  <w:num w:numId="18">
    <w:abstractNumId w:val="10"/>
  </w:num>
  <w:num w:numId="19">
    <w:abstractNumId w:val="22"/>
  </w:num>
  <w:num w:numId="20">
    <w:abstractNumId w:val="4"/>
  </w:num>
  <w:num w:numId="21">
    <w:abstractNumId w:val="14"/>
  </w:num>
  <w:num w:numId="22">
    <w:abstractNumId w:val="20"/>
  </w:num>
  <w:num w:numId="23">
    <w:abstractNumId w:val="8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4F"/>
    <w:rsid w:val="00102EB5"/>
    <w:rsid w:val="00397F2A"/>
    <w:rsid w:val="00430944"/>
    <w:rsid w:val="0085011C"/>
    <w:rsid w:val="00987DF0"/>
    <w:rsid w:val="00AA161A"/>
    <w:rsid w:val="00BA724F"/>
    <w:rsid w:val="00BB431A"/>
    <w:rsid w:val="00CA5727"/>
    <w:rsid w:val="00D60A21"/>
    <w:rsid w:val="00DC62B0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DC62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C62B0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DC62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C62B0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DC62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C62B0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DC62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C62B0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2019-12-06T14:54:00Z</cp:lastPrinted>
  <dcterms:created xsi:type="dcterms:W3CDTF">2019-09-24T15:04:00Z</dcterms:created>
  <dcterms:modified xsi:type="dcterms:W3CDTF">2019-12-06T14:55:00Z</dcterms:modified>
</cp:coreProperties>
</file>