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23" w:rsidRDefault="00155A23" w:rsidP="00155A23">
      <w:pPr>
        <w:pStyle w:val="a5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55A23" w:rsidRDefault="00155A23" w:rsidP="00155A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условия и порядок участия в работе научного форума:</w:t>
      </w:r>
    </w:p>
    <w:p w:rsidR="00155A23" w:rsidRDefault="00155A23" w:rsidP="00155A23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  <w:u w:val="single"/>
        </w:rPr>
        <w:t>Время и место проведения научного форума.</w:t>
      </w:r>
      <w:r>
        <w:rPr>
          <w:sz w:val="24"/>
          <w:szCs w:val="24"/>
        </w:rPr>
        <w:t xml:space="preserve"> 10–13 октября 2019 г., ЗАО «Санаторий “Жемчужина моря”», ул. Мира, 20, с. Кабардинка, г. Геленджик.</w:t>
      </w:r>
      <w:proofErr w:type="gramEnd"/>
    </w:p>
    <w:p w:rsidR="00155A23" w:rsidRDefault="00155A23" w:rsidP="00155A23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Рабочие языки форума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Рабочие языки форума – русский, английский.</w:t>
      </w:r>
    </w:p>
    <w:p w:rsidR="00155A23" w:rsidRDefault="00155A23" w:rsidP="00155A23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Формы участия в научном форуме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Форма участия в форуме – очная (выступление с докладом в рамках мероприятий научной программы; выступление с сообщением в рамках мероприятий научной программы, участие в дискуссии; участие в качестве слушателя). Заочное участие </w:t>
      </w:r>
      <w:r>
        <w:rPr>
          <w:b/>
          <w:sz w:val="24"/>
          <w:szCs w:val="24"/>
        </w:rPr>
        <w:t>не предусмотрено</w:t>
      </w:r>
      <w:r>
        <w:rPr>
          <w:sz w:val="24"/>
          <w:szCs w:val="24"/>
        </w:rPr>
        <w:t xml:space="preserve">. Докладчики на пленарное заседание </w:t>
      </w:r>
      <w:r>
        <w:rPr>
          <w:b/>
          <w:sz w:val="24"/>
          <w:szCs w:val="24"/>
        </w:rPr>
        <w:t>отдельно приглашаются</w:t>
      </w:r>
      <w:r>
        <w:rPr>
          <w:sz w:val="24"/>
          <w:szCs w:val="24"/>
        </w:rPr>
        <w:t xml:space="preserve"> Программным комитетом. Заявки, подготовленные в соавторстве, принимаются Программным комитетом только в исключительных случаях. Подавая заявку в Оргкомитет, участник выражает намерение лично участвовать в форуме, а также </w:t>
      </w:r>
      <w:r>
        <w:rPr>
          <w:b/>
          <w:sz w:val="24"/>
          <w:szCs w:val="24"/>
        </w:rPr>
        <w:t>дает разрешение</w:t>
      </w:r>
      <w:r>
        <w:rPr>
          <w:sz w:val="24"/>
          <w:szCs w:val="24"/>
        </w:rPr>
        <w:t xml:space="preserve"> на обработку и публикацию персональных данных в объеме: фамилия, имя и отчество, занимаемая должность, структурное подразделение, организация, электронная почта.</w:t>
      </w:r>
    </w:p>
    <w:p w:rsidR="00155A23" w:rsidRDefault="00155A23" w:rsidP="00155A23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Условия участия в научном форуме.</w:t>
      </w:r>
      <w:r>
        <w:rPr>
          <w:sz w:val="24"/>
          <w:szCs w:val="24"/>
        </w:rPr>
        <w:t xml:space="preserve"> Оргкомитет берет на себя расходы, связанные с пребыванием (проживание и питание) участников на базе проведения форума – в санатории «Жемчужина моря». Участники форума размещаются </w:t>
      </w:r>
      <w:r>
        <w:rPr>
          <w:b/>
          <w:sz w:val="24"/>
          <w:szCs w:val="24"/>
        </w:rPr>
        <w:t xml:space="preserve">в двухместных номерах, </w:t>
      </w:r>
      <w:r>
        <w:rPr>
          <w:sz w:val="24"/>
          <w:szCs w:val="24"/>
        </w:rPr>
        <w:t xml:space="preserve">одноместное размещение </w:t>
      </w:r>
      <w:r>
        <w:rPr>
          <w:b/>
          <w:sz w:val="24"/>
          <w:szCs w:val="24"/>
        </w:rPr>
        <w:t>не предусмотрено</w:t>
      </w:r>
      <w:r>
        <w:rPr>
          <w:sz w:val="24"/>
          <w:szCs w:val="24"/>
        </w:rPr>
        <w:t xml:space="preserve">. Оргкомитет </w:t>
      </w:r>
      <w:r>
        <w:rPr>
          <w:b/>
          <w:sz w:val="24"/>
          <w:szCs w:val="24"/>
        </w:rPr>
        <w:t>не оплачивает</w:t>
      </w:r>
      <w:r>
        <w:rPr>
          <w:sz w:val="24"/>
          <w:szCs w:val="24"/>
        </w:rPr>
        <w:t xml:space="preserve"> командировочные расходы участников. Оплата проезда участников к месту проведения форума осуществляется за счет направляющей стороны или самостоятельно. Организационный взнос </w:t>
      </w:r>
      <w:r>
        <w:rPr>
          <w:b/>
          <w:sz w:val="24"/>
          <w:szCs w:val="24"/>
        </w:rPr>
        <w:t>не предусмотрен</w:t>
      </w:r>
      <w:r>
        <w:rPr>
          <w:sz w:val="24"/>
          <w:szCs w:val="24"/>
        </w:rPr>
        <w:t>.</w:t>
      </w:r>
    </w:p>
    <w:p w:rsidR="00155A23" w:rsidRDefault="00155A23" w:rsidP="00155A23">
      <w:pPr>
        <w:pStyle w:val="a4"/>
        <w:spacing w:before="0" w:beforeAutospacing="0" w:after="0" w:afterAutospacing="0"/>
        <w:ind w:firstLine="708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Мероприятия и участники научного форума.</w:t>
      </w:r>
      <w:r>
        <w:rPr>
          <w:sz w:val="24"/>
          <w:szCs w:val="24"/>
        </w:rPr>
        <w:t xml:space="preserve"> </w:t>
      </w:r>
      <w:bookmarkStart w:id="0" w:name="OLE_LINK50"/>
      <w:bookmarkStart w:id="1" w:name="OLE_LINK51"/>
      <w:proofErr w:type="gramStart"/>
      <w:r>
        <w:rPr>
          <w:sz w:val="24"/>
          <w:szCs w:val="24"/>
        </w:rPr>
        <w:t xml:space="preserve">К участию в работе форума приглашаются </w:t>
      </w:r>
      <w:bookmarkStart w:id="2" w:name="OLE_LINK19"/>
      <w:bookmarkStart w:id="3" w:name="OLE_LINK18"/>
      <w:r>
        <w:rPr>
          <w:sz w:val="24"/>
          <w:szCs w:val="24"/>
        </w:rPr>
        <w:t>ученые – специалисты в области этнологии, культурологии, кавказоведения, теории и практики межнациональных отношений, музееведения, архитектуры, археологии, истории искусств</w:t>
      </w:r>
      <w:r>
        <w:rPr>
          <w:rFonts w:eastAsia="Arial Unicode MS"/>
          <w:sz w:val="24"/>
          <w:szCs w:val="24"/>
        </w:rPr>
        <w:t xml:space="preserve">, межкультурной коммуникации, политологии, международных отношений и других гуманитарных дисциплин, </w:t>
      </w:r>
      <w:r>
        <w:rPr>
          <w:sz w:val="24"/>
          <w:szCs w:val="24"/>
        </w:rPr>
        <w:t xml:space="preserve">представители региональных и муниципальных органов, </w:t>
      </w:r>
      <w:r>
        <w:rPr>
          <w:rFonts w:eastAsia="Arial Unicode MS"/>
          <w:sz w:val="24"/>
          <w:szCs w:val="24"/>
        </w:rPr>
        <w:t>реализующих государственную политику в сфере науки, культуры, межнациональных отношений и охраны наследия</w:t>
      </w:r>
      <w:r>
        <w:rPr>
          <w:sz w:val="24"/>
          <w:szCs w:val="24"/>
        </w:rPr>
        <w:t>, общественных организаций и объединений.</w:t>
      </w:r>
      <w:bookmarkEnd w:id="2"/>
      <w:bookmarkEnd w:id="3"/>
      <w:proofErr w:type="gramEnd"/>
      <w:r>
        <w:rPr>
          <w:sz w:val="24"/>
          <w:szCs w:val="24"/>
        </w:rPr>
        <w:t xml:space="preserve"> Оргкомитет приветствует и готов оказывать содействие участи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научных мероприятиях форума </w:t>
      </w:r>
      <w:r>
        <w:rPr>
          <w:b/>
          <w:sz w:val="24"/>
          <w:szCs w:val="24"/>
        </w:rPr>
        <w:t>молодых ученых, аспирантов и магистрантов</w:t>
      </w:r>
      <w:r>
        <w:rPr>
          <w:sz w:val="24"/>
          <w:szCs w:val="24"/>
        </w:rPr>
        <w:t xml:space="preserve">. Мероприятия научной программы формируются Оргкомитетом и корректируются с учетом анализа поступивших заявок участников. Участникам предлагаются два основных формата мероприятий: </w:t>
      </w:r>
      <w:r>
        <w:rPr>
          <w:b/>
          <w:sz w:val="24"/>
          <w:szCs w:val="24"/>
        </w:rPr>
        <w:t>дискуссия</w:t>
      </w:r>
      <w:r>
        <w:rPr>
          <w:sz w:val="24"/>
          <w:szCs w:val="24"/>
        </w:rPr>
        <w:t xml:space="preserve">, предполагающая обсуждение вопросов, сформулированных Программным комитетом, и </w:t>
      </w:r>
      <w:r>
        <w:rPr>
          <w:b/>
          <w:sz w:val="24"/>
          <w:szCs w:val="24"/>
        </w:rPr>
        <w:t>круглый стол</w:t>
      </w:r>
      <w:r>
        <w:rPr>
          <w:sz w:val="24"/>
          <w:szCs w:val="24"/>
        </w:rPr>
        <w:t xml:space="preserve">, предусматривающий выступления с докладами и сообщениями. Модераторы, ответственные за проведение мероприятий научной программы форума, уполномочены Программным комитетом вести переписку с участниками по </w:t>
      </w:r>
      <w:r>
        <w:rPr>
          <w:b/>
          <w:sz w:val="24"/>
          <w:szCs w:val="24"/>
        </w:rPr>
        <w:t>уточнению тем и проблематики выступлений, выбору формата участия</w:t>
      </w:r>
      <w:r>
        <w:rPr>
          <w:sz w:val="24"/>
          <w:szCs w:val="24"/>
        </w:rPr>
        <w:t xml:space="preserve"> и пр. Научная программа форума дополняется специальными событиями и презентацией новых научных изданий. Оргкомитет стремится обеспечить свободный дискуссионный формат работы форума, позволяющий обсудить наиболее актуальные проблемы и наметить перспективные направления их развития.</w:t>
      </w:r>
    </w:p>
    <w:bookmarkEnd w:id="0"/>
    <w:bookmarkEnd w:id="1"/>
    <w:p w:rsidR="00155A23" w:rsidRDefault="00155A23" w:rsidP="00155A23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Порядок подачи заявок на участие в работе научного форума.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Заявки на участие в работе форума, оформленные согласно приложению № 1, необходимо присылать на официальный адрес Оргкомитета: </w:t>
      </w:r>
      <w:hyperlink r:id="rId5" w:history="1">
        <w:r>
          <w:rPr>
            <w:rStyle w:val="-"/>
            <w:sz w:val="24"/>
            <w:szCs w:val="24"/>
          </w:rPr>
          <w:t>sbricur@gmail.com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до 15 августа 2019 г.</w:t>
      </w:r>
      <w:r>
        <w:rPr>
          <w:sz w:val="24"/>
          <w:szCs w:val="24"/>
        </w:rPr>
        <w:t xml:space="preserve"> Заявка, а также другие материалы прилагаются к письму в виде прикрепленных файлов, название которых должно содержать фамилию автора (например: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Иванов_заявка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»).</w:t>
      </w:r>
      <w:proofErr w:type="gramEnd"/>
      <w:r>
        <w:rPr>
          <w:sz w:val="24"/>
          <w:szCs w:val="24"/>
        </w:rPr>
        <w:t xml:space="preserve"> Оргкомитет уведомляет участника о получении заявки. Программный комитет оставляет за собой </w:t>
      </w:r>
      <w:r>
        <w:rPr>
          <w:b/>
          <w:sz w:val="24"/>
          <w:szCs w:val="24"/>
        </w:rPr>
        <w:t>право отбора</w:t>
      </w:r>
      <w:r>
        <w:rPr>
          <w:sz w:val="24"/>
          <w:szCs w:val="24"/>
        </w:rPr>
        <w:t xml:space="preserve"> материалов, при этом заявки, не соответствующие основным направлениям работы форума, будут отклонены с уведомлением автора. До </w:t>
      </w:r>
      <w:r>
        <w:rPr>
          <w:b/>
          <w:sz w:val="24"/>
          <w:szCs w:val="24"/>
        </w:rPr>
        <w:t>01 сентября 2019 г.</w:t>
      </w:r>
      <w:r>
        <w:rPr>
          <w:sz w:val="24"/>
          <w:szCs w:val="24"/>
        </w:rPr>
        <w:t xml:space="preserve"> участники будут оповещены о результатах отбора и о решении по включению заявки в программу работы форума. По запросу участника на его электронную почту Оргкомитет </w:t>
      </w:r>
      <w:r>
        <w:rPr>
          <w:sz w:val="24"/>
          <w:szCs w:val="24"/>
        </w:rPr>
        <w:lastRenderedPageBreak/>
        <w:t xml:space="preserve">высылает именное приглашение. Уточненная программа мероприятий форума формируется по окончании приема заявок. До </w:t>
      </w:r>
      <w:r>
        <w:rPr>
          <w:b/>
          <w:sz w:val="24"/>
          <w:szCs w:val="24"/>
        </w:rPr>
        <w:t>01 октября 2019 г.</w:t>
      </w:r>
      <w:r>
        <w:rPr>
          <w:sz w:val="24"/>
          <w:szCs w:val="24"/>
        </w:rPr>
        <w:t xml:space="preserve"> участникам будет разослан План проведения мероприятий форума.</w:t>
      </w:r>
    </w:p>
    <w:p w:rsidR="00155A23" w:rsidRDefault="00155A23" w:rsidP="00155A23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Итоговые материалы научного форума.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проведения форума будет опубликован сборник научных статей. Статьи для публикации в объеме до 1,0 </w:t>
      </w:r>
      <w:proofErr w:type="spellStart"/>
      <w:r>
        <w:rPr>
          <w:sz w:val="24"/>
          <w:szCs w:val="24"/>
        </w:rPr>
        <w:t>п.л</w:t>
      </w:r>
      <w:proofErr w:type="spellEnd"/>
      <w:r>
        <w:rPr>
          <w:sz w:val="24"/>
          <w:szCs w:val="24"/>
        </w:rPr>
        <w:t xml:space="preserve">. могут быть представлены в Оргкомитет до </w:t>
      </w:r>
      <w:r>
        <w:rPr>
          <w:b/>
          <w:sz w:val="24"/>
          <w:szCs w:val="24"/>
        </w:rPr>
        <w:t>01 декабря 2019 г.</w:t>
      </w:r>
      <w:r>
        <w:rPr>
          <w:sz w:val="24"/>
          <w:szCs w:val="24"/>
        </w:rPr>
        <w:t xml:space="preserve"> включительно. Все материалы авторов, удовлетворяющие формальным и содержательным требованиям Оргкомитета, будут опубликованы. Отдельные статьи участников по решению Программного комитета могут быть опубликованы в электронном научном журнале «Наследие веков». Все издания в обязательном порядке будут размещены в фондах Научной электронной библиотеки для индексации в системе РИНЦ (лицензионные договоры № 1573-07/2014К от 09.07.2014 и №</w:t>
      </w:r>
      <w:r>
        <w:rPr>
          <w:sz w:val="28"/>
          <w:szCs w:val="28"/>
          <w:lang w:val="en-US"/>
        </w:rPr>
        <w:t> </w:t>
      </w:r>
      <w:r>
        <w:rPr>
          <w:sz w:val="24"/>
          <w:szCs w:val="24"/>
        </w:rPr>
        <w:t xml:space="preserve">714-11/2015 от 10 ноября 2015 г.). Программный комитет оставляет за собой </w:t>
      </w:r>
      <w:r>
        <w:rPr>
          <w:b/>
          <w:sz w:val="24"/>
          <w:szCs w:val="24"/>
        </w:rPr>
        <w:t>право выбора</w:t>
      </w:r>
      <w:r>
        <w:rPr>
          <w:sz w:val="24"/>
          <w:szCs w:val="24"/>
        </w:rPr>
        <w:t xml:space="preserve"> формы публикации предоставленных материалов и </w:t>
      </w:r>
      <w:r>
        <w:rPr>
          <w:b/>
          <w:sz w:val="24"/>
          <w:szCs w:val="24"/>
        </w:rPr>
        <w:t>право отклонения</w:t>
      </w:r>
      <w:r>
        <w:rPr>
          <w:sz w:val="24"/>
          <w:szCs w:val="24"/>
        </w:rPr>
        <w:t xml:space="preserve"> материалов, не соответствующих тематике форума или предъявляемым требованиям, в том числе формальным.</w:t>
      </w:r>
    </w:p>
    <w:p w:rsidR="00155A23" w:rsidRDefault="00155A23" w:rsidP="00155A23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Требования к оформлению статей.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Материалы, представляемые для публикации, </w:t>
      </w:r>
      <w:r>
        <w:rPr>
          <w:b/>
          <w:sz w:val="24"/>
          <w:szCs w:val="24"/>
        </w:rPr>
        <w:t xml:space="preserve">не должны </w:t>
      </w:r>
      <w:r>
        <w:rPr>
          <w:sz w:val="24"/>
          <w:szCs w:val="24"/>
        </w:rPr>
        <w:t xml:space="preserve">быть опубликованы ранее или направлены в другие издания. Программный комитет оставляет за собой </w:t>
      </w:r>
      <w:r>
        <w:rPr>
          <w:b/>
          <w:sz w:val="24"/>
          <w:szCs w:val="24"/>
        </w:rPr>
        <w:t>право редактирования</w:t>
      </w:r>
      <w:r>
        <w:rPr>
          <w:sz w:val="24"/>
          <w:szCs w:val="24"/>
        </w:rPr>
        <w:t xml:space="preserve"> полученных материалов.</w:t>
      </w:r>
    </w:p>
    <w:p w:rsidR="00155A23" w:rsidRDefault="00155A23" w:rsidP="00155A23">
      <w:pPr>
        <w:pStyle w:val="a4"/>
        <w:spacing w:before="0" w:beforeAutospacing="0" w:after="0" w:afterAutospacing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Материалы оформляются в редакторе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(формат 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); шрифт «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»; основной текст; кегль 14; интервал –1,5;</w:t>
      </w:r>
      <w:r>
        <w:rPr>
          <w:rFonts w:ascii="MS Mincho" w:eastAsia="MS Mincho" w:hAnsi="MS Mincho" w:cs="MS Mincho" w:hint="eastAsia"/>
          <w:sz w:val="24"/>
          <w:szCs w:val="24"/>
        </w:rPr>
        <w:t> </w:t>
      </w:r>
      <w:r>
        <w:rPr>
          <w:sz w:val="24"/>
          <w:szCs w:val="24"/>
        </w:rPr>
        <w:t>верхнее и нижнее поля – 2,5</w:t>
      </w:r>
      <w:r>
        <w:rPr>
          <w:sz w:val="28"/>
          <w:szCs w:val="28"/>
          <w:lang w:val="en-US"/>
        </w:rPr>
        <w:t> </w:t>
      </w:r>
      <w:r>
        <w:rPr>
          <w:sz w:val="24"/>
          <w:szCs w:val="24"/>
        </w:rPr>
        <w:t>см; левое поле – 3 см, правое поле – 1,5 см; отступ (абзац) – 1,25 см.</w:t>
      </w:r>
    </w:p>
    <w:p w:rsidR="00155A23" w:rsidRDefault="00155A23" w:rsidP="00155A23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статьи должны быть указаны </w:t>
      </w:r>
      <w:r>
        <w:rPr>
          <w:b/>
          <w:sz w:val="24"/>
          <w:szCs w:val="24"/>
        </w:rPr>
        <w:t>следующие данные на русском и английском языках</w:t>
      </w:r>
      <w:r>
        <w:rPr>
          <w:sz w:val="24"/>
          <w:szCs w:val="24"/>
        </w:rPr>
        <w:t>: название статьи (на русском и английском языках); фамилия, имя, отчество всех авторов полностью (на русском и английском языках); ученая степень и ученое звание каждого из авторов (на русском и английском языках); место работы каждого из авторов в следующем порядке: должность с указанием подразделения, наименование организации, город (на русском и английском языках); аннотация, объемом не менее 100–120 слов (на русском и английском языках); ключевые слова и словосочетания, разделенные запятыми, – не менее 7 и не более 10 (на русском и английском языках).</w:t>
      </w:r>
    </w:p>
    <w:p w:rsidR="00155A23" w:rsidRDefault="00155A23" w:rsidP="00155A23">
      <w:pPr>
        <w:pStyle w:val="a5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использованной литературы обязателен.</w:t>
      </w:r>
      <w:r>
        <w:rPr>
          <w:rFonts w:cs="Times New Roman"/>
          <w:sz w:val="24"/>
          <w:szCs w:val="24"/>
        </w:rPr>
        <w:t xml:space="preserve"> Список оформляется в алфавитном порядке в соответствии с ГОСТом </w:t>
      </w:r>
      <w:proofErr w:type="gramStart"/>
      <w:r>
        <w:rPr>
          <w:rFonts w:cs="Times New Roman"/>
          <w:sz w:val="24"/>
          <w:szCs w:val="24"/>
        </w:rPr>
        <w:t>Р</w:t>
      </w:r>
      <w:proofErr w:type="gramEnd"/>
      <w:r>
        <w:rPr>
          <w:rFonts w:cs="Times New Roman"/>
          <w:sz w:val="24"/>
          <w:szCs w:val="24"/>
        </w:rPr>
        <w:t xml:space="preserve"> 7.0.5–2008 Библиографическая ссылка. Общие требования и правила составления, с обязательным указанием </w:t>
      </w:r>
      <w:r>
        <w:rPr>
          <w:rFonts w:cs="Times New Roman"/>
          <w:b/>
          <w:sz w:val="24"/>
          <w:szCs w:val="24"/>
        </w:rPr>
        <w:t>места издания и издательства</w:t>
      </w:r>
      <w:r>
        <w:rPr>
          <w:rFonts w:cs="Times New Roman"/>
          <w:sz w:val="24"/>
          <w:szCs w:val="24"/>
        </w:rPr>
        <w:t xml:space="preserve">. Для изданий без автора </w:t>
      </w:r>
      <w:r>
        <w:rPr>
          <w:rFonts w:cs="Times New Roman"/>
          <w:b/>
          <w:sz w:val="24"/>
          <w:szCs w:val="24"/>
        </w:rPr>
        <w:t>обязательно указание</w:t>
      </w:r>
      <w:r>
        <w:rPr>
          <w:rFonts w:cs="Times New Roman"/>
          <w:sz w:val="24"/>
          <w:szCs w:val="24"/>
        </w:rPr>
        <w:t xml:space="preserve"> ответственного редактора или редколлегии, в случае использования части издания (статьи, раздела) </w:t>
      </w:r>
      <w:r>
        <w:rPr>
          <w:rFonts w:cs="Times New Roman"/>
          <w:b/>
          <w:sz w:val="24"/>
          <w:szCs w:val="24"/>
        </w:rPr>
        <w:t>указание страниц</w:t>
      </w:r>
      <w:r>
        <w:rPr>
          <w:rFonts w:cs="Times New Roman"/>
          <w:sz w:val="24"/>
          <w:szCs w:val="24"/>
        </w:rPr>
        <w:t xml:space="preserve"> обязательно. Комплексные библиографические ссылки (указание нескольких изданий под одним номером списка) </w:t>
      </w:r>
      <w:r>
        <w:rPr>
          <w:rFonts w:cs="Times New Roman"/>
          <w:b/>
          <w:sz w:val="24"/>
          <w:szCs w:val="24"/>
        </w:rPr>
        <w:t>недопустимы</w:t>
      </w:r>
      <w:r>
        <w:rPr>
          <w:rFonts w:cs="Times New Roman"/>
          <w:sz w:val="24"/>
          <w:szCs w:val="24"/>
        </w:rPr>
        <w:t xml:space="preserve">. Сокращения в названии архивов, издательств и периодических изданий </w:t>
      </w:r>
      <w:r>
        <w:rPr>
          <w:rFonts w:cs="Times New Roman"/>
          <w:b/>
          <w:sz w:val="24"/>
          <w:szCs w:val="24"/>
        </w:rPr>
        <w:t>недопустимы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Сноски на литературу</w:t>
      </w:r>
      <w:r>
        <w:rPr>
          <w:rFonts w:cs="Times New Roman"/>
          <w:sz w:val="24"/>
          <w:szCs w:val="24"/>
        </w:rPr>
        <w:t xml:space="preserve"> проставляются внутри статьи в квадратных скобках после цитаты с указанием страницы (например: [3, с. 47], если источников больше одного – [3, с. 34] [4, с. 15–18]). Пример оформления списка использованной литературы представлен в Приложении 2.</w:t>
      </w:r>
    </w:p>
    <w:p w:rsidR="00155A23" w:rsidRDefault="00155A23" w:rsidP="00155A23">
      <w:pPr>
        <w:jc w:val="center"/>
        <w:rPr>
          <w:b/>
          <w:i/>
          <w:sz w:val="24"/>
          <w:szCs w:val="24"/>
        </w:rPr>
      </w:pPr>
    </w:p>
    <w:p w:rsidR="00155A23" w:rsidRDefault="00155A23" w:rsidP="00155A2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Ключевые даты научного форума:</w:t>
      </w:r>
    </w:p>
    <w:p w:rsidR="00155A23" w:rsidRDefault="00155A23" w:rsidP="00155A23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до 15 августа 2019 г.</w:t>
      </w:r>
      <w:r>
        <w:rPr>
          <w:sz w:val="24"/>
          <w:szCs w:val="24"/>
        </w:rPr>
        <w:t xml:space="preserve"> – прием заявок участников форума;</w:t>
      </w:r>
    </w:p>
    <w:p w:rsidR="00155A23" w:rsidRDefault="00155A23" w:rsidP="00155A23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до 01 сентября 2019 г.</w:t>
      </w:r>
      <w:r>
        <w:rPr>
          <w:sz w:val="24"/>
          <w:szCs w:val="24"/>
        </w:rPr>
        <w:t xml:space="preserve"> – оповещение участников о результатах отбора;</w:t>
      </w:r>
    </w:p>
    <w:p w:rsidR="00155A23" w:rsidRDefault="00155A23" w:rsidP="00155A23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до 01 октября 2019 г.</w:t>
      </w:r>
      <w:r>
        <w:rPr>
          <w:sz w:val="24"/>
          <w:szCs w:val="24"/>
        </w:rPr>
        <w:t xml:space="preserve"> – рассылка участникам Плана мероприятий форума;</w:t>
      </w:r>
    </w:p>
    <w:p w:rsidR="00155A23" w:rsidRDefault="00155A23" w:rsidP="00155A23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10–13 октября 2019 г.</w:t>
      </w:r>
      <w:r>
        <w:rPr>
          <w:sz w:val="24"/>
          <w:szCs w:val="24"/>
        </w:rPr>
        <w:t xml:space="preserve"> – работа форума;</w:t>
      </w:r>
    </w:p>
    <w:p w:rsidR="00155A23" w:rsidRDefault="00155A23" w:rsidP="00155A2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 01 декабря 2019 г.</w:t>
      </w:r>
      <w:r>
        <w:rPr>
          <w:sz w:val="24"/>
          <w:szCs w:val="24"/>
        </w:rPr>
        <w:t xml:space="preserve"> – прием статей для публикации.</w:t>
      </w:r>
    </w:p>
    <w:p w:rsidR="00155A23" w:rsidRDefault="00155A23" w:rsidP="00155A23">
      <w:pPr>
        <w:rPr>
          <w:sz w:val="24"/>
          <w:szCs w:val="24"/>
        </w:rPr>
      </w:pPr>
    </w:p>
    <w:p w:rsidR="00155A23" w:rsidRDefault="00155A23" w:rsidP="00155A2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Официальные информационные ресурсы научного форума:</w:t>
      </w:r>
      <w:bookmarkStart w:id="4" w:name="OLE_LINK16"/>
      <w:bookmarkStart w:id="5" w:name="OLE_LINK15"/>
    </w:p>
    <w:p w:rsidR="00155A23" w:rsidRDefault="00155A23" w:rsidP="001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Вся официальная информация о проведении конференции размещается на специальном сайте форума: </w:t>
      </w:r>
      <w:hyperlink r:id="rId6" w:history="1">
        <w:r>
          <w:rPr>
            <w:rStyle w:val="a3"/>
            <w:color w:val="auto"/>
            <w:sz w:val="24"/>
            <w:szCs w:val="24"/>
          </w:rPr>
          <w:t>http://forum.sbricur.com</w:t>
        </w:r>
      </w:hyperlink>
      <w:r>
        <w:rPr>
          <w:sz w:val="24"/>
          <w:szCs w:val="24"/>
        </w:rPr>
        <w:t xml:space="preserve">, информация актуализируется на сайте </w:t>
      </w:r>
      <w:r>
        <w:rPr>
          <w:sz w:val="24"/>
          <w:szCs w:val="24"/>
        </w:rPr>
        <w:lastRenderedPageBreak/>
        <w:t xml:space="preserve">Южного филиала Института Наследия: </w:t>
      </w:r>
      <w:hyperlink r:id="rId7" w:history="1">
        <w:r>
          <w:rPr>
            <w:rStyle w:val="a3"/>
            <w:color w:val="auto"/>
            <w:sz w:val="24"/>
            <w:szCs w:val="24"/>
          </w:rPr>
          <w:t>http://sbricur.com</w:t>
        </w:r>
      </w:hyperlink>
      <w:r>
        <w:rPr>
          <w:sz w:val="24"/>
          <w:szCs w:val="24"/>
        </w:rPr>
        <w:t xml:space="preserve">, официальной странице в сети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: https://www.facebook.com/events/376975046227274/.</w:t>
      </w:r>
    </w:p>
    <w:bookmarkEnd w:id="4"/>
    <w:bookmarkEnd w:id="5"/>
    <w:p w:rsidR="00155A23" w:rsidRDefault="00155A23" w:rsidP="00155A23">
      <w:pPr>
        <w:rPr>
          <w:sz w:val="24"/>
          <w:szCs w:val="24"/>
        </w:rPr>
      </w:pPr>
    </w:p>
    <w:p w:rsidR="00155A23" w:rsidRDefault="00155A23" w:rsidP="00155A2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Контактная информация Оргкомитета:</w:t>
      </w:r>
    </w:p>
    <w:p w:rsidR="00155A23" w:rsidRDefault="00155A23" w:rsidP="00155A23">
      <w:pPr>
        <w:pStyle w:val="a5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Южный филиал Российского научно-исследовательского института культурного и природного наследия имени Д. С. Лихачева (ул. Красная, 28, оф. 25, г. Краснодар, 350063, электронный адрес: </w:t>
      </w:r>
      <w:hyperlink r:id="rId8" w:history="1">
        <w:r>
          <w:rPr>
            <w:rStyle w:val="a3"/>
            <w:rFonts w:cs="Times New Roman"/>
            <w:color w:val="auto"/>
            <w:sz w:val="24"/>
            <w:szCs w:val="24"/>
            <w:lang w:eastAsia="ru-RU" w:bidi="ru-RU"/>
          </w:rPr>
          <w:t>sbricur@gmail.com</w:t>
        </w:r>
      </w:hyperlink>
      <w:r>
        <w:rPr>
          <w:rStyle w:val="-"/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тел.: 8-861-268-22-98)</w:t>
      </w:r>
      <w:r>
        <w:rPr>
          <w:sz w:val="24"/>
          <w:szCs w:val="24"/>
        </w:rPr>
        <w:t>;</w:t>
      </w:r>
    </w:p>
    <w:p w:rsidR="00155A23" w:rsidRDefault="00155A23" w:rsidP="00155A23">
      <w:pPr>
        <w:pStyle w:val="a5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Горлова Ирина Ивановна</w:t>
      </w:r>
      <w:r>
        <w:rPr>
          <w:rFonts w:cs="Times New Roman"/>
          <w:sz w:val="24"/>
          <w:szCs w:val="24"/>
        </w:rPr>
        <w:t xml:space="preserve">, директор Южного филиала Института Наследия (электронный адрес: </w:t>
      </w:r>
      <w:hyperlink r:id="rId9" w:history="1">
        <w:r>
          <w:rPr>
            <w:rStyle w:val="a3"/>
            <w:rFonts w:cs="Times New Roman"/>
            <w:color w:val="auto"/>
            <w:sz w:val="24"/>
            <w:szCs w:val="24"/>
            <w:lang w:val="en-US"/>
          </w:rPr>
          <w:t>ii</w:t>
        </w:r>
        <w:r>
          <w:rPr>
            <w:rStyle w:val="a3"/>
            <w:rFonts w:cs="Times New Roman"/>
            <w:color w:val="auto"/>
            <w:sz w:val="24"/>
            <w:szCs w:val="24"/>
          </w:rPr>
          <w:t>.</w:t>
        </w:r>
        <w:r>
          <w:rPr>
            <w:rStyle w:val="a3"/>
            <w:rFonts w:cs="Times New Roman"/>
            <w:color w:val="auto"/>
            <w:sz w:val="24"/>
            <w:szCs w:val="24"/>
            <w:lang w:val="en-US"/>
          </w:rPr>
          <w:t>gorlova</w:t>
        </w:r>
        <w:r>
          <w:rPr>
            <w:rStyle w:val="a3"/>
            <w:rFonts w:cs="Times New Roman"/>
            <w:color w:val="auto"/>
            <w:sz w:val="24"/>
            <w:szCs w:val="24"/>
          </w:rPr>
          <w:t>@</w:t>
        </w:r>
        <w:r>
          <w:rPr>
            <w:rStyle w:val="a3"/>
            <w:rFonts w:cs="Times New Roman"/>
            <w:color w:val="auto"/>
            <w:sz w:val="24"/>
            <w:szCs w:val="24"/>
            <w:lang w:val="en-US"/>
          </w:rPr>
          <w:t>gmail</w:t>
        </w:r>
        <w:r>
          <w:rPr>
            <w:rStyle w:val="a3"/>
            <w:rFonts w:cs="Times New Roman"/>
            <w:color w:val="auto"/>
            <w:sz w:val="24"/>
            <w:szCs w:val="24"/>
          </w:rPr>
          <w:t>.</w:t>
        </w:r>
        <w:r>
          <w:rPr>
            <w:rStyle w:val="a3"/>
            <w:rFonts w:cs="Times New Roman"/>
            <w:color w:val="auto"/>
            <w:sz w:val="24"/>
            <w:szCs w:val="24"/>
            <w:lang w:val="en-US"/>
          </w:rPr>
          <w:t>com</w:t>
        </w:r>
      </w:hyperlink>
      <w:r>
        <w:rPr>
          <w:rFonts w:cs="Times New Roman"/>
          <w:sz w:val="24"/>
          <w:szCs w:val="24"/>
        </w:rPr>
        <w:t>, тел.: 8-988-242-28-25);</w:t>
      </w:r>
    </w:p>
    <w:p w:rsidR="00155A23" w:rsidRDefault="00155A23" w:rsidP="00155A23">
      <w:pPr>
        <w:pStyle w:val="a5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Коваленко Тимофей Викторович</w:t>
      </w:r>
      <w:r>
        <w:rPr>
          <w:rFonts w:cs="Times New Roman"/>
          <w:sz w:val="24"/>
          <w:szCs w:val="24"/>
        </w:rPr>
        <w:t xml:space="preserve">, заместитель директора Южного филиала Института Наследия (электронный адрес: </w:t>
      </w:r>
      <w:hyperlink r:id="rId10" w:history="1">
        <w:r>
          <w:rPr>
            <w:rStyle w:val="a3"/>
            <w:rFonts w:cs="Times New Roman"/>
            <w:color w:val="auto"/>
            <w:sz w:val="24"/>
            <w:szCs w:val="24"/>
            <w:lang w:val="en-US"/>
          </w:rPr>
          <w:t>timofey</w:t>
        </w:r>
        <w:r>
          <w:rPr>
            <w:rStyle w:val="a3"/>
            <w:rFonts w:cs="Times New Roman"/>
            <w:color w:val="auto"/>
            <w:sz w:val="24"/>
            <w:szCs w:val="24"/>
          </w:rPr>
          <w:t>.</w:t>
        </w:r>
        <w:r>
          <w:rPr>
            <w:rStyle w:val="a3"/>
            <w:rFonts w:cs="Times New Roman"/>
            <w:color w:val="auto"/>
            <w:sz w:val="24"/>
            <w:szCs w:val="24"/>
            <w:lang w:val="en-US"/>
          </w:rPr>
          <w:t>kovalenko</w:t>
        </w:r>
        <w:r>
          <w:rPr>
            <w:rStyle w:val="a3"/>
            <w:rFonts w:cs="Times New Roman"/>
            <w:color w:val="auto"/>
            <w:sz w:val="24"/>
            <w:szCs w:val="24"/>
          </w:rPr>
          <w:t>@</w:t>
        </w:r>
        <w:r>
          <w:rPr>
            <w:rStyle w:val="a3"/>
            <w:rFonts w:cs="Times New Roman"/>
            <w:color w:val="auto"/>
            <w:sz w:val="24"/>
            <w:szCs w:val="24"/>
            <w:lang w:val="en-US"/>
          </w:rPr>
          <w:t>gmail</w:t>
        </w:r>
        <w:r>
          <w:rPr>
            <w:rStyle w:val="a3"/>
            <w:rFonts w:cs="Times New Roman"/>
            <w:color w:val="auto"/>
            <w:sz w:val="24"/>
            <w:szCs w:val="24"/>
          </w:rPr>
          <w:t>.</w:t>
        </w:r>
        <w:r>
          <w:rPr>
            <w:rStyle w:val="a3"/>
            <w:rFonts w:cs="Times New Roman"/>
            <w:color w:val="auto"/>
            <w:sz w:val="24"/>
            <w:szCs w:val="24"/>
            <w:lang w:val="en-US"/>
          </w:rPr>
          <w:t>com</w:t>
        </w:r>
      </w:hyperlink>
      <w:r>
        <w:rPr>
          <w:rFonts w:cs="Times New Roman"/>
          <w:sz w:val="24"/>
          <w:szCs w:val="24"/>
        </w:rPr>
        <w:t>, тел.: 8-918-496-74-34);</w:t>
      </w:r>
    </w:p>
    <w:p w:rsidR="00155A23" w:rsidRDefault="00155A23" w:rsidP="00155A23">
      <w:pPr>
        <w:pStyle w:val="a5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Крюков Анатолий Владимирович</w:t>
      </w:r>
      <w:r>
        <w:rPr>
          <w:rFonts w:eastAsia="Times New Roman" w:cs="Times New Roman"/>
          <w:sz w:val="24"/>
          <w:szCs w:val="24"/>
          <w:lang w:eastAsia="ru-RU"/>
        </w:rPr>
        <w:t xml:space="preserve">, ученый </w:t>
      </w:r>
      <w:r>
        <w:rPr>
          <w:rFonts w:cs="Times New Roman"/>
          <w:sz w:val="24"/>
          <w:szCs w:val="24"/>
        </w:rPr>
        <w:t>Южного филиала Института Наследия (</w:t>
      </w:r>
      <w:r>
        <w:rPr>
          <w:rFonts w:cs="Times New Roman"/>
          <w:sz w:val="24"/>
          <w:szCs w:val="24"/>
          <w:lang w:val="en-US"/>
        </w:rPr>
        <w:t>e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en-US"/>
        </w:rPr>
        <w:t>mail</w:t>
      </w:r>
      <w:r>
        <w:rPr>
          <w:rFonts w:cs="Times New Roman"/>
          <w:sz w:val="24"/>
          <w:szCs w:val="24"/>
        </w:rPr>
        <w:t xml:space="preserve">: </w:t>
      </w:r>
      <w:hyperlink r:id="rId11" w:history="1">
        <w:r>
          <w:rPr>
            <w:rStyle w:val="a3"/>
            <w:rFonts w:cs="Times New Roman"/>
            <w:color w:val="auto"/>
            <w:sz w:val="24"/>
            <w:szCs w:val="24"/>
          </w:rPr>
          <w:t>anatoly.kryukow@yandex.ru</w:t>
        </w:r>
      </w:hyperlink>
      <w:r>
        <w:rPr>
          <w:rFonts w:cs="Times New Roman"/>
          <w:sz w:val="24"/>
          <w:szCs w:val="24"/>
        </w:rPr>
        <w:t>, тел.: 8-918-448-59-01).</w:t>
      </w:r>
      <w:r>
        <w:rPr>
          <w:sz w:val="24"/>
          <w:szCs w:val="24"/>
        </w:rPr>
        <w:br w:type="page"/>
      </w:r>
    </w:p>
    <w:p w:rsidR="003A2217" w:rsidRDefault="00155A23">
      <w:bookmarkStart w:id="6" w:name="_GoBack"/>
      <w:bookmarkEnd w:id="6"/>
    </w:p>
    <w:sectPr w:rsidR="003A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05"/>
    <w:rsid w:val="00155A23"/>
    <w:rsid w:val="00243B05"/>
    <w:rsid w:val="00493753"/>
    <w:rsid w:val="00B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5A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A23"/>
    <w:pPr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155A23"/>
    <w:pPr>
      <w:suppressAutoHyphens/>
    </w:pPr>
    <w:rPr>
      <w:rFonts w:ascii="Times New Roman" w:eastAsia="SimSun" w:hAnsi="Times New Roman" w:cs="Cambria"/>
      <w:sz w:val="20"/>
      <w:szCs w:val="20"/>
    </w:rPr>
  </w:style>
  <w:style w:type="character" w:customStyle="1" w:styleId="-">
    <w:name w:val="Интернет-ссылка"/>
    <w:rsid w:val="00155A23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5A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A23"/>
    <w:pPr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155A23"/>
    <w:pPr>
      <w:suppressAutoHyphens/>
    </w:pPr>
    <w:rPr>
      <w:rFonts w:ascii="Times New Roman" w:eastAsia="SimSun" w:hAnsi="Times New Roman" w:cs="Cambria"/>
      <w:sz w:val="20"/>
      <w:szCs w:val="20"/>
    </w:rPr>
  </w:style>
  <w:style w:type="character" w:customStyle="1" w:styleId="-">
    <w:name w:val="Интернет-ссылка"/>
    <w:rsid w:val="00155A23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icu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bricur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um.sbricur.com" TargetMode="External"/><Relationship Id="rId11" Type="http://schemas.openxmlformats.org/officeDocument/2006/relationships/hyperlink" Target="mailto:anatoly.kryukow@yandex.ru" TargetMode="External"/><Relationship Id="rId5" Type="http://schemas.openxmlformats.org/officeDocument/2006/relationships/hyperlink" Target="mailto:sbricur@gmail.com" TargetMode="External"/><Relationship Id="rId10" Type="http://schemas.openxmlformats.org/officeDocument/2006/relationships/hyperlink" Target="mailto:timofey.kovalen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i.gorl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7266</Characters>
  <Application>Microsoft Office Word</Application>
  <DocSecurity>0</DocSecurity>
  <Lines>60</Lines>
  <Paragraphs>17</Paragraphs>
  <ScaleCrop>false</ScaleCrop>
  <Company>Hewlett-Packard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2019-07-30T10:29:00Z</dcterms:created>
  <dcterms:modified xsi:type="dcterms:W3CDTF">2019-07-30T10:29:00Z</dcterms:modified>
</cp:coreProperties>
</file>