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E9FC" w14:textId="77777777" w:rsidR="00EF3F68" w:rsidRPr="00815172" w:rsidRDefault="00EF3F68" w:rsidP="00EF3F68">
      <w:pPr>
        <w:spacing w:after="0" w:line="240" w:lineRule="auto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</w:p>
    <w:p w14:paraId="2713574B" w14:textId="77777777" w:rsidR="00EF3F68" w:rsidRPr="00815172" w:rsidRDefault="00EF3F68" w:rsidP="00EF3F68">
      <w:pPr>
        <w:spacing w:after="0" w:line="240" w:lineRule="auto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</w:p>
    <w:p w14:paraId="2C089D8E" w14:textId="77777777" w:rsidR="00EF3F68" w:rsidRPr="00815172" w:rsidRDefault="00EF3F68" w:rsidP="00EF3F68">
      <w:pPr>
        <w:spacing w:after="0" w:line="240" w:lineRule="auto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</w:p>
    <w:p w14:paraId="61912B19" w14:textId="5AD9B78E" w:rsidR="00EF3F68" w:rsidRPr="00815172" w:rsidRDefault="00EF3F68" w:rsidP="00EF3F6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>РЕЗОЛЮЦИЯ УЧАСТНИКОВ ФОРУМА</w:t>
      </w:r>
    </w:p>
    <w:p w14:paraId="6D639BC0" w14:textId="77777777" w:rsidR="00EF3F68" w:rsidRPr="00815172" w:rsidRDefault="00EF3F68" w:rsidP="00EF3F68">
      <w:pPr>
        <w:spacing w:after="0" w:line="240" w:lineRule="auto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</w:p>
    <w:p w14:paraId="00E32575" w14:textId="77777777" w:rsidR="00EF3F68" w:rsidRPr="00815172" w:rsidRDefault="00A371F6" w:rsidP="00EF3F68">
      <w:pPr>
        <w:pStyle w:val="a3"/>
        <w:spacing w:after="0" w:line="240" w:lineRule="auto"/>
        <w:ind w:firstLine="709"/>
        <w:jc w:val="both"/>
        <w:rPr>
          <w:rStyle w:val="FontStyle12"/>
          <w:rFonts w:asciiTheme="majorBidi" w:hAnsiTheme="majorBidi" w:cstheme="majorBidi"/>
          <w:b w:val="0"/>
          <w:bCs/>
          <w:i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М</w:t>
      </w:r>
      <w:r w:rsidR="00F6086E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еждународный научный форум «Культурное наследие Северного Кавказа как ресурс межнационального согласия» </w:t>
      </w:r>
      <w:r w:rsidR="00F052BC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–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научно-организационный проект Южного филиала Российского научно-исследовательского института культурного и природного наследия имени Д. С. Лихачева, </w:t>
      </w:r>
      <w:r w:rsidR="00F6086E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реализуемый с 2015 г. при поддержке Министерства культуры Российской Федерации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,</w:t>
      </w:r>
      <w:r w:rsidR="00EF3F68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приобрел заслуженный авторитет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в глазах научного сообщества страны и региона</w:t>
      </w:r>
      <w:r w:rsidR="00F6086E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. В 2016–2018 гг. Форум проводился в рамках Плана</w:t>
      </w:r>
      <w:r w:rsidR="00F6086E" w:rsidRPr="00815172">
        <w:rPr>
          <w:rStyle w:val="FontStyle12"/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</w:t>
      </w:r>
      <w:r w:rsidR="00F6086E" w:rsidRPr="00815172">
        <w:rPr>
          <w:rStyle w:val="FontStyle12"/>
          <w:rFonts w:asciiTheme="majorBidi" w:hAnsiTheme="majorBidi" w:cstheme="majorBidi"/>
          <w:b w:val="0"/>
          <w:bCs/>
          <w:i/>
          <w:color w:val="000000" w:themeColor="text1"/>
          <w:sz w:val="30"/>
          <w:szCs w:val="30"/>
        </w:rPr>
        <w:t>мероприятий по реализации Стратегии государственной национальной политики Российской Федерации на период до 2025 г. (распоряжение Правительства Российской Федерации от 23</w:t>
      </w:r>
      <w:r w:rsidR="00F6086E" w:rsidRPr="00815172">
        <w:rPr>
          <w:rFonts w:asciiTheme="majorBidi" w:hAnsiTheme="majorBidi" w:cstheme="majorBidi"/>
          <w:b/>
          <w:i/>
          <w:color w:val="000000" w:themeColor="text1"/>
          <w:sz w:val="30"/>
          <w:szCs w:val="30"/>
          <w:lang w:val="en-US"/>
        </w:rPr>
        <w:t> </w:t>
      </w:r>
      <w:r w:rsidR="00F6086E" w:rsidRPr="00815172">
        <w:rPr>
          <w:rStyle w:val="FontStyle12"/>
          <w:rFonts w:asciiTheme="majorBidi" w:hAnsiTheme="majorBidi" w:cstheme="majorBidi"/>
          <w:b w:val="0"/>
          <w:bCs/>
          <w:i/>
          <w:color w:val="000000" w:themeColor="text1"/>
          <w:sz w:val="30"/>
          <w:szCs w:val="30"/>
        </w:rPr>
        <w:t>декабря 2015</w:t>
      </w:r>
      <w:r w:rsidR="00F6086E" w:rsidRPr="00815172">
        <w:rPr>
          <w:rFonts w:asciiTheme="majorBidi" w:hAnsiTheme="majorBidi" w:cstheme="majorBidi"/>
          <w:b/>
          <w:i/>
          <w:color w:val="000000" w:themeColor="text1"/>
          <w:sz w:val="30"/>
          <w:szCs w:val="30"/>
          <w:lang w:val="en-US"/>
        </w:rPr>
        <w:t> </w:t>
      </w:r>
      <w:r w:rsidR="00F6086E" w:rsidRPr="00815172">
        <w:rPr>
          <w:rStyle w:val="FontStyle12"/>
          <w:rFonts w:asciiTheme="majorBidi" w:hAnsiTheme="majorBidi" w:cstheme="majorBidi"/>
          <w:b w:val="0"/>
          <w:bCs/>
          <w:i/>
          <w:color w:val="000000" w:themeColor="text1"/>
          <w:sz w:val="30"/>
          <w:szCs w:val="30"/>
        </w:rPr>
        <w:t>г. № 2648-р).</w:t>
      </w:r>
    </w:p>
    <w:p w14:paraId="5CA57D68" w14:textId="07994748" w:rsidR="004F05B9" w:rsidRPr="00815172" w:rsidRDefault="00813549" w:rsidP="00EF3F68">
      <w:pPr>
        <w:pStyle w:val="a3"/>
        <w:spacing w:after="0" w:line="240" w:lineRule="auto"/>
        <w:ind w:firstLine="709"/>
        <w:jc w:val="both"/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Шестой</w:t>
      </w:r>
      <w:r w:rsidRPr="00815172">
        <w:rPr>
          <w:rStyle w:val="FontStyle12"/>
          <w:rFonts w:asciiTheme="majorBidi" w:hAnsiTheme="majorBidi" w:cstheme="majorBidi"/>
          <w:b w:val="0"/>
          <w:bCs/>
          <w:i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Международный научный форум «Культурное наследие Северного Кавказа как ресурс межнационального согласия» 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про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шел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1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–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4</w:t>
      </w:r>
      <w:r w:rsidR="008D1141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 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октября 20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20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г. на базе санатория «Жемчужина моря» (с. Кабардинка, город Геленджик). Информационными партнерами Форума </w:t>
      </w:r>
      <w:r w:rsidR="00EF3F68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стали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научные журналы «Наследие веков» и «Культурное наследие России».</w:t>
      </w:r>
    </w:p>
    <w:p w14:paraId="74DEB484" w14:textId="77777777" w:rsidR="00EF3F68" w:rsidRPr="00815172" w:rsidRDefault="00764551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В рамках </w:t>
      </w:r>
      <w:r w:rsidR="0070114B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программы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научных мероприятий Форума заслушано ***</w:t>
      </w:r>
      <w:r w:rsidRPr="00815172">
        <w:rPr>
          <w:rFonts w:asciiTheme="majorBidi" w:hAnsiTheme="majorBidi" w:cstheme="majorBidi"/>
          <w:b/>
          <w:i/>
          <w:color w:val="000000" w:themeColor="text1"/>
          <w:sz w:val="30"/>
          <w:szCs w:val="30"/>
          <w:lang w:val="en-US"/>
        </w:rPr>
        <w:t> 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докладов и сообщени</w:t>
      </w:r>
      <w:r w:rsidR="0070114B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й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, </w:t>
      </w:r>
      <w:r w:rsidR="000B64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с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которыми выступили представители научной общественности из Армавира, Астрахани, Владикавказа, Волгограда, Грозного, Екатеринбурга, Краснодара, Майкопа, </w:t>
      </w:r>
      <w:proofErr w:type="spellStart"/>
      <w:r w:rsidR="00083BD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Магаса</w:t>
      </w:r>
      <w:proofErr w:type="spellEnd"/>
      <w:r w:rsidR="00083BD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,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Махачкалы, Москвы, Нальчика, </w:t>
      </w:r>
      <w:r w:rsidR="005A64C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Миасса,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Пятигорска, Ростова-на-Дону, </w:t>
      </w:r>
      <w:r w:rsidR="003B01F8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Сочи,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Санкт-Петербурга, </w:t>
      </w:r>
      <w:r w:rsidR="00E87BDD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Арзамаса</w:t>
      </w:r>
      <w:r w:rsidR="008D1141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,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Симферополя, Ставрополя, Томска, Уфы, Челябинска, Черкесска, Элисты, а также из </w:t>
      </w:r>
      <w:proofErr w:type="spellStart"/>
      <w:r w:rsidR="00083BD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Сухума</w:t>
      </w:r>
      <w:proofErr w:type="spellEnd"/>
      <w:r w:rsidR="00083BD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,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Зелёной </w:t>
      </w:r>
      <w:proofErr w:type="spellStart"/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Гуры</w:t>
      </w:r>
      <w:proofErr w:type="spellEnd"/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, Кишинёва.</w:t>
      </w:r>
    </w:p>
    <w:p w14:paraId="5FF28946" w14:textId="77777777" w:rsidR="00EF3F68" w:rsidRPr="00815172" w:rsidRDefault="0051582A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Ф</w:t>
      </w:r>
      <w:r w:rsidR="00F75BE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орум 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привлек внимание общественности широким </w:t>
      </w:r>
      <w:r w:rsidR="00F75BE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спектр</w:t>
      </w: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ом</w:t>
      </w:r>
      <w:r w:rsidR="00F75BE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актуальных проблем</w:t>
      </w:r>
      <w:r w:rsidR="00A371F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,</w:t>
      </w:r>
      <w:r w:rsidR="00F75BE6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 вынесенных на обсуждение</w:t>
      </w:r>
      <w:r w:rsidR="005711D3"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: р</w:t>
      </w:r>
      <w:r w:rsidR="005711D3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азвитие национальных литератур и современные тенденции в языковой политике на юге России, монументальная политика как инструмент </w:t>
      </w:r>
      <w:r w:rsidR="005711D3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lastRenderedPageBreak/>
        <w:t>сохранения исторической памяти, современное общество и культурное наследие Северного Кавказа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, </w:t>
      </w:r>
      <w:r w:rsidR="00083837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недвиж</w:t>
      </w:r>
      <w:r w:rsidR="008C033C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и</w:t>
      </w:r>
      <w:r w:rsidR="00083837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мое наследие в повседневных социальных и административных практика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х, </w:t>
      </w:r>
      <w:r w:rsidR="00740FC7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гуманитарные и материальные ресурсы</w:t>
      </w:r>
      <w:r w:rsidR="00083837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,</w:t>
      </w:r>
      <w:r w:rsidR="00740FC7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цифровая культура и проблемы репрезентации наследия. Особую актуальность обсуждаемые на Форуме проблемы приобре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ли в год знаменательного события в жизни страны</w:t>
      </w:r>
      <w:r w:rsidR="00254668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 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– 75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-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летия Победы Советского народа в Великой Отечественной войне. Обращение к 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юбилейной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дате дало исследовательскому сообществу 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новый импульс 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осмысл</w:t>
      </w:r>
      <w:r w:rsidR="004707A8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ения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</w:t>
      </w:r>
      <w:r w:rsidR="006020E4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истории и современности</w:t>
      </w:r>
      <w:r w:rsidR="006042DE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в литературе</w:t>
      </w:r>
      <w:r w:rsidR="006020E4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,</w:t>
      </w:r>
      <w:r w:rsidR="004707A8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монументальной политике, </w:t>
      </w:r>
      <w:r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в </w:t>
      </w:r>
      <w:r w:rsidR="006020E4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виртуальном </w:t>
      </w:r>
      <w:r w:rsidR="00DE7474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пространстве, позволило углубить комплексные подходы к проблеме</w:t>
      </w:r>
      <w:r w:rsidR="004707A8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патриотизма</w:t>
      </w:r>
      <w:r w:rsidR="008D2136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>,</w:t>
      </w:r>
      <w:r w:rsidR="004707A8" w:rsidRPr="00815172">
        <w:rPr>
          <w:rFonts w:asciiTheme="majorBidi" w:hAnsiTheme="majorBidi" w:cstheme="majorBidi"/>
          <w:bCs/>
          <w:i/>
          <w:color w:val="000000" w:themeColor="text1"/>
          <w:sz w:val="30"/>
          <w:szCs w:val="30"/>
        </w:rPr>
        <w:t xml:space="preserve"> гражданской идентичности.</w:t>
      </w:r>
    </w:p>
    <w:p w14:paraId="53FBA346" w14:textId="69CC5C01" w:rsidR="004C12BE" w:rsidRPr="00815172" w:rsidRDefault="004C12BE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i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 xml:space="preserve">Участниками Форума стали сотрудники научных и образовательных учреждений России, Абхазии, Молдовы, Польши: культурологи, историки, </w:t>
      </w:r>
      <w:proofErr w:type="spellStart"/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музеологи</w:t>
      </w:r>
      <w:proofErr w:type="spellEnd"/>
      <w:r w:rsidRPr="00815172">
        <w:rPr>
          <w:rFonts w:asciiTheme="majorBidi" w:hAnsiTheme="majorBidi" w:cstheme="majorBidi"/>
          <w:i/>
          <w:color w:val="000000" w:themeColor="text1"/>
          <w:sz w:val="30"/>
          <w:szCs w:val="30"/>
        </w:rPr>
        <w:t>, политологи, специалисты в сфере международных отношений, социальных и гуманитарных наук, представители региональных органов государственной власти и муниципальных органов управления, реализующих государственную политику в сфере культуры, а также в области охраны и использования культурного наследия, сотрудники библиотек, образовательных и культурно-просветительских учреждений, представители гражданского общества, активисты волонтерского движения.</w:t>
      </w:r>
    </w:p>
    <w:p w14:paraId="4ECD1158" w14:textId="76892662" w:rsidR="008B1E87" w:rsidRPr="00815172" w:rsidRDefault="008B1E87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</w:p>
    <w:p w14:paraId="06926348" w14:textId="77777777" w:rsidR="00EF3F68" w:rsidRPr="00815172" w:rsidRDefault="00EF3F68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</w:p>
    <w:p w14:paraId="22DD0AB4" w14:textId="47F1D22C" w:rsidR="00342B31" w:rsidRPr="00815172" w:rsidRDefault="00342B31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Рассмотрев и обсудив </w:t>
      </w:r>
      <w:r w:rsidR="00570755"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в рамках секций и программных мероприятий Форума </w:t>
      </w: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>представленные доклады, материалы, документы, участники считают необходимым отметить:</w:t>
      </w:r>
    </w:p>
    <w:p w14:paraId="14F06D11" w14:textId="0B10DC32" w:rsidR="00212D0A" w:rsidRPr="00815172" w:rsidRDefault="00254668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первостепенную роль подлинности недвижимого культурного наследия для сохранения и преемственной передачи культурной памяти. С ут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ерей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подлинности безвозвратно утрачивается сущность памятника или ансамбля, его значение свидетельства прошлого. Выявление, изучение, сохранение и качественная презентация подлинных характеристик объектов культурного наследия являются важнейшим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аспектом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совместн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ой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деятельности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профессионального сообщества и органов власти всех уровней. Подлинные памятники и обладающая подлинными качествами историко-градостроительная среда формируют идентичность места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,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несут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в себе мощный ресурс гуманитарного и хозяйственного развития территории.</w:t>
      </w:r>
      <w:r w:rsidR="00342B31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До сих пор не изжиты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пренебрежительно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отношени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строительного бизнеса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к подлинной средовой исторической застройке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, не устранена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тенденци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я к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замен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подлинников </w:t>
      </w:r>
      <w:proofErr w:type="spellStart"/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новоделами</w:t>
      </w:r>
      <w:proofErr w:type="spellEnd"/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,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к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обще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му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lastRenderedPageBreak/>
        <w:t>снижени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ю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уровня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проектной деятельности по сохранению недвижимого культурного наследия, в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плоть до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случа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ев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недобросовестной, «заказной» государственной историко-культурной экспертизы, 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к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преобладани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ю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формальных сторон над сущностными, содержательными в современных правоприменительных практиках</w:t>
      </w:r>
      <w:r w:rsidR="00A85D9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;</w:t>
      </w:r>
    </w:p>
    <w:p w14:paraId="17BB99B1" w14:textId="70133D97" w:rsidR="009B26B9" w:rsidRPr="00815172" w:rsidRDefault="00A85D9B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eastAsia="SimSun" w:hAnsiTheme="majorBidi" w:cstheme="majorBidi"/>
          <w:color w:val="000000" w:themeColor="text1"/>
          <w:sz w:val="30"/>
          <w:szCs w:val="30"/>
        </w:rPr>
        <w:tab/>
      </w:r>
      <w:r w:rsidR="00212D0A" w:rsidRPr="00815172">
        <w:rPr>
          <w:rFonts w:asciiTheme="majorBidi" w:eastAsia="SimSun" w:hAnsiTheme="majorBidi" w:cstheme="majorBidi"/>
          <w:color w:val="000000" w:themeColor="text1"/>
          <w:sz w:val="30"/>
          <w:szCs w:val="30"/>
        </w:rPr>
        <w:t>значение р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усского языка как фактора обеспечения суверенитета и идентичности российской нации. </w:t>
      </w:r>
      <w:r w:rsidR="00212D0A" w:rsidRPr="00815172">
        <w:rPr>
          <w:rFonts w:asciiTheme="majorBidi" w:eastAsia="SimSun" w:hAnsiTheme="majorBidi" w:cstheme="majorBidi"/>
          <w:color w:val="000000" w:themeColor="text1"/>
          <w:sz w:val="30"/>
          <w:szCs w:val="30"/>
        </w:rPr>
        <w:t xml:space="preserve">Обсуждались меры по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совершенствованию нормативного регулирования двуязычного законодательства в субъектах Юга России</w:t>
      </w:r>
      <w:r w:rsidR="00212D0A" w:rsidRPr="00815172">
        <w:rPr>
          <w:rFonts w:asciiTheme="majorBidi" w:eastAsia="SimSun" w:hAnsiTheme="majorBidi" w:cstheme="majorBidi"/>
          <w:color w:val="000000" w:themeColor="text1"/>
          <w:sz w:val="30"/>
          <w:szCs w:val="30"/>
        </w:rPr>
        <w:t xml:space="preserve">. Было предложено поддержать инициативы,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направленные на единение многонационального государства путем формирования оптимальной среды бытования и взаимообогащения культур и языков, развития русского языка как государствообразующего и языка межнационального общения.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342B31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а Форуме был поддержан тезис о необходимости решительных усилий со стороны федеральных и местных органов власти по закреплени</w:t>
      </w:r>
      <w:r w:rsidR="00342B31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ю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позиций русского языка на Северном Кавказе как государственного языка, являющегося средством межнационального общения, а также углубленного изучения рус</w:t>
      </w:r>
      <w:r w:rsidR="00342B31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ской классической литературы</w:t>
      </w:r>
      <w:r w:rsidR="0075620F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>– проводника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духовн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ых</w:t>
      </w:r>
      <w:r w:rsidR="00212D0A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основ российской цивилизации. При этом должны быть обеспечены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самые широкие возможности для развития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и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процветания языков и национальных культур все без исключения этносов, населяющих наш регион</w:t>
      </w:r>
      <w:r w:rsidR="009B26B9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; </w:t>
      </w:r>
    </w:p>
    <w:p w14:paraId="7ECE712C" w14:textId="73899B8B" w:rsidR="00200ECB" w:rsidRPr="00815172" w:rsidRDefault="0075620F" w:rsidP="00EF3F68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 xml:space="preserve">особую важность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монументальн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ой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политик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и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как инструмент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а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сохранения исторической памяти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.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Д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о сих пор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монументальная политика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не являлась предметом комплексного рассмотрения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, о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тсутствует устойчивое определение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ее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понятия.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При этом очевидна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  <w:shd w:val="clear" w:color="auto" w:fill="FFFFFF"/>
        </w:rPr>
        <w:t xml:space="preserve">роль монументальных памятников в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формировании национальной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и гражданской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идентичности</w:t>
      </w:r>
      <w:r w:rsidR="00676692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.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Тема представляет теоретический и практический интерес. </w:t>
      </w:r>
      <w:r w:rsidR="00200EC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Важный ее аспект – особенности формирования монументального пространства современной России, общероссийское и региональное, в том числе северокавказское, измерение монументальной политики;</w:t>
      </w:r>
    </w:p>
    <w:p w14:paraId="63FC6F92" w14:textId="777EE2C2" w:rsidR="006927EE" w:rsidRPr="00815172" w:rsidRDefault="00676692" w:rsidP="00EF3F68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ab/>
      </w:r>
      <w:r w:rsidR="00EF3F68" w:rsidRPr="00815172">
        <w:rPr>
          <w:rFonts w:asciiTheme="majorBidi" w:hAnsiTheme="majorBidi" w:cstheme="majorBidi"/>
          <w:bCs/>
          <w:iCs/>
          <w:color w:val="000000" w:themeColor="text1"/>
          <w:sz w:val="30"/>
          <w:szCs w:val="30"/>
        </w:rPr>
        <w:tab/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ценность цифрового наследия, являющегося новым типом культурных артефактов, возникшим как результат научно-технического прогресса. </w:t>
      </w:r>
      <w:proofErr w:type="spellStart"/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Цифровизация</w:t>
      </w:r>
      <w:proofErr w:type="spellEnd"/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в настоящее время затронула почти все области человеческой деятельности, в том числе и сферу культуры. Создание электронных ресурсов, аккумулирующих цифровое наследие, поддерживающих его в целостном состоянии, обеспечивающих его сохранность и доступность существенно расширяет возможности для научного и художественного творчества, повышает образовательный потенциал личности, становится действенным фундаментом взаимопонимания и сотрудничества между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lastRenderedPageBreak/>
        <w:t xml:space="preserve">людьми, принадлежащими к разным этническим культурам, языковым сообществам и религиозным традициям. Возможности широкого и свободного доступа к цифровому наследию в эпоху высоких технологий способствуют поддержанию социальной памяти, являющейся одной из основ гражданской идентичности и необходимым условием обеспечения надежного будущего российской нации. Наблюдаемые тенденции свидетельствуют о том, что значение цифрового наследия как мощного ресурса временной и пространственной трансляции культурных ценностей со временем будет только возрастать. Вместе с тем природа электронной информации определяет высокий уровень рисков, связанных с ее уязвимостью, зависимостью от физической сохранности носителей и процессом морального устаревания программного и аппаратного обеспечения, поэтому опасность возможной утраты цифрового наследия следует признать общенациональной проблемой, требующей срочного и безотлагательного решения. </w:t>
      </w:r>
    </w:p>
    <w:p w14:paraId="56CB52FD" w14:textId="77777777" w:rsidR="00EF3F68" w:rsidRPr="00815172" w:rsidRDefault="00EF3F68" w:rsidP="00EF3F68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</w:p>
    <w:p w14:paraId="665119B7" w14:textId="59CE34C5" w:rsidR="00363F76" w:rsidRPr="00815172" w:rsidRDefault="006927EE" w:rsidP="00EF3F6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Заслушав и обсудив доклады и сообщения, участники </w:t>
      </w:r>
      <w:r w:rsidR="00676692"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>Ф</w:t>
      </w: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>орум</w:t>
      </w:r>
      <w:r w:rsidR="00676692"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>а</w:t>
      </w:r>
      <w:r w:rsidR="00342B31"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 предлагают:</w:t>
      </w:r>
      <w:r w:rsidRPr="00815172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 </w:t>
      </w:r>
    </w:p>
    <w:p w14:paraId="50546DFA" w14:textId="513BA38D" w:rsidR="006927EE" w:rsidRPr="00815172" w:rsidRDefault="006927EE" w:rsidP="00EF3F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Министерству культуры Российской Федерации, </w:t>
      </w:r>
      <w:bookmarkStart w:id="0" w:name="_Hlk51882155"/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государственным органам, уполномоченным в сфере сохранения объектов культурного наследия, </w:t>
      </w:r>
      <w:bookmarkEnd w:id="0"/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рекомендовать заострить внимание на качестве научно-проектных работ в части научного обоснования проектных решений, а также на адекватность и обоснованность выводов государственных историко-культурных экспертиз в части безусловного соблюдения презумпции сохранения недвижимого культурного наследия.</w:t>
      </w:r>
    </w:p>
    <w:p w14:paraId="70FEF505" w14:textId="77777777" w:rsidR="000F3576" w:rsidRPr="00815172" w:rsidRDefault="000F357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520BEA42" w14:textId="3549F313" w:rsidR="006927EE" w:rsidRPr="00815172" w:rsidRDefault="00702998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2.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Органам государственной власти и местного самоуправления городов и сельских населенных мест, отнесенных к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особой категории наследия – «историческое поселение» либо обладающих его признаками, рассмотреть вопрос о разработке комплексных научно-обоснованных программ устойчивого развития исторических территорий.</w:t>
      </w:r>
    </w:p>
    <w:p w14:paraId="33D5DA05" w14:textId="77777777" w:rsidR="000F3576" w:rsidRPr="00815172" w:rsidRDefault="000F357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2E26C908" w14:textId="000AA7D9" w:rsidR="006927EE" w:rsidRPr="00815172" w:rsidRDefault="00702998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3.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Поддержать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на всех уровнях, включая разработку перспективных государственных программ,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идею о проведении Десятилетия русской классической литературы в связи с предстоящими юбилеями великих русских писателей (в 2021 г. 200-летие Ф.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М.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Достоевского, Н.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А.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Некрасова, в 2023 г. – 200-летие А.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Островского, в 2024 г. 225-летие А.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С.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Пушкина, в 2026 г. −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200-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lastRenderedPageBreak/>
        <w:t>летие М.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Салтыкова-Щедрина, в 2028 г. 200-летие Л.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Н.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Толстого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и др.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).</w:t>
      </w:r>
    </w:p>
    <w:p w14:paraId="2A6B1C19" w14:textId="77777777" w:rsidR="000F3576" w:rsidRPr="00815172" w:rsidRDefault="000F357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5BA25586" w14:textId="2E19AF69" w:rsidR="006927EE" w:rsidRPr="00815172" w:rsidRDefault="00702998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4.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Продолжать государственную поддержку программ по совершенствованию преподавания и изучения русского языка и русской культуры в республиках Российской Федерации.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Федеральным и региональным органам власти,</w:t>
      </w:r>
      <w:r w:rsidR="00200ECB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6927E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Министерствам культуры и образования республик Юга РФ обратить внимание на:</w:t>
      </w:r>
    </w:p>
    <w:p w14:paraId="7DB7CB9E" w14:textId="22A92899" w:rsidR="006927EE" w:rsidRPr="00815172" w:rsidRDefault="006927EE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комплексное обеспечение условий для изучения русского языка как государственного;</w:t>
      </w:r>
    </w:p>
    <w:p w14:paraId="0F0B79B7" w14:textId="4E873D5D" w:rsidR="006927EE" w:rsidRPr="00815172" w:rsidRDefault="006927EE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практику обучения родным языкам в национальных школах с целью сохранения и развития этнокультурного наследия народов Северного Кавказа,</w:t>
      </w:r>
    </w:p>
    <w:p w14:paraId="46492B23" w14:textId="2188D6B3" w:rsidR="006927EE" w:rsidRPr="00815172" w:rsidRDefault="006927EE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−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развитие материальной базы библиотек как проводников государственной языковой и культурной политики;</w:t>
      </w:r>
    </w:p>
    <w:p w14:paraId="0008A666" w14:textId="5B2416A7" w:rsidR="006927EE" w:rsidRPr="00815172" w:rsidRDefault="006927EE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−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поддержку переводческой деятельности, способствующей сближению литератур народов России.</w:t>
      </w:r>
    </w:p>
    <w:p w14:paraId="29EEA18A" w14:textId="77777777" w:rsidR="000F3576" w:rsidRPr="00815172" w:rsidRDefault="000F357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6025C867" w14:textId="6A21B376" w:rsidR="00841744" w:rsidRPr="00815172" w:rsidRDefault="00702998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5.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Научному сообществу, государственным органам и специалистам в области охраны культурного наследия</w:t>
      </w:r>
      <w:r w:rsidR="00841744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уделить внимание разработке монументальной политики с учетом</w:t>
      </w:r>
      <w:r w:rsidR="00841744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осознани</w:t>
      </w:r>
      <w:r w:rsidR="008422B6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я</w:t>
      </w:r>
      <w:r w:rsidR="00841744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роли монументального памятника как важного ресурса государственной политики, инструмента реализации повседневных социально-политических и культурных практик: памятования, наследования, преумножения культурного достояния государства и нации.</w:t>
      </w:r>
    </w:p>
    <w:p w14:paraId="28BD74F7" w14:textId="77777777" w:rsidR="000F3576" w:rsidRPr="00815172" w:rsidRDefault="000F357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24861094" w14:textId="42B805A5" w:rsidR="00841744" w:rsidRPr="00815172" w:rsidRDefault="008422B6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6.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В</w:t>
      </w:r>
      <w:r w:rsidR="00841744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числе первоочередных шагов для защиты цифрового наследия, должны быть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предприняты</w:t>
      </w:r>
      <w:r w:rsidR="00841744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:</w:t>
      </w:r>
    </w:p>
    <w:p w14:paraId="4636CC97" w14:textId="6F86AE67" w:rsidR="00841744" w:rsidRPr="00815172" w:rsidRDefault="00841744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разработка и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принятие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на государственном уровне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нормативных актов, направленных на введение понятия «цифровое наследие» и связанных с ним родственных понятий в правовое поле Российской Федерации;</w:t>
      </w:r>
    </w:p>
    <w:p w14:paraId="3F5399FE" w14:textId="7ABDBDD2" w:rsidR="00841744" w:rsidRPr="00815172" w:rsidRDefault="00841744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осуществление 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на федеральном уровне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административных, организационных и технических мероприятий, направленных на периодическое сохранение российского сегмента информационно-телекоммуникационной сети Интернет в рамках одного веб-ресурса с обеспечением долгосрочного архивирования собранного материала и бесплатного свободного доступа к нему;</w:t>
      </w:r>
    </w:p>
    <w:p w14:paraId="054776A6" w14:textId="0999DC1C" w:rsidR="00841744" w:rsidRPr="00815172" w:rsidRDefault="00841744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активизаци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я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деятельности региональных научных библиотек, нацеленной на создание и поддержание работы электронных </w:t>
      </w:r>
      <w:proofErr w:type="spellStart"/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репозиториев</w:t>
      </w:r>
      <w:proofErr w:type="spellEnd"/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, содержащих цифровые копии изданий, отражающих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lastRenderedPageBreak/>
        <w:t>книжный репертуар региона и находящихся в общественном достоянии (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  <w:lang w:val="en-US"/>
        </w:rPr>
        <w:t>Public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  <w:lang w:val="en-US"/>
        </w:rPr>
        <w:t>domain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);</w:t>
      </w:r>
    </w:p>
    <w:p w14:paraId="219F7BD3" w14:textId="36FF44CC" w:rsidR="00841744" w:rsidRPr="00815172" w:rsidRDefault="00841744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расширение работы центральных и региональных архивов по оцифровке находящегося в их фондах документального наследия и обеспечению широкого общественного доступа к этим историческим источникам;</w:t>
      </w:r>
    </w:p>
    <w:p w14:paraId="4ACC71E0" w14:textId="77777777" w:rsidR="00EF3F68" w:rsidRPr="00815172" w:rsidRDefault="00841744" w:rsidP="00EF3F6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–</w:t>
      </w:r>
      <w:r w:rsidR="00EF3F68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ab/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поощрение профессиональной методической и непосредственной педагогической деятельности представителей вузовского сообщества, имеющ</w:t>
      </w:r>
      <w:r w:rsidR="00A321DE"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ей</w:t>
      </w: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целью расширение использования цифрового наследия и соответствующих информационных ресурсов в учебном процессе.</w:t>
      </w:r>
    </w:p>
    <w:p w14:paraId="51D81F4E" w14:textId="77777777" w:rsidR="000F3576" w:rsidRPr="00815172" w:rsidRDefault="000F3576" w:rsidP="000F357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2DCFE6DE" w14:textId="4A91AE4A" w:rsidR="00A321DE" w:rsidRPr="00815172" w:rsidRDefault="00A321DE" w:rsidP="000F357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815172">
        <w:rPr>
          <w:rFonts w:asciiTheme="majorBidi" w:hAnsiTheme="majorBidi" w:cstheme="majorBidi"/>
          <w:color w:val="000000" w:themeColor="text1"/>
          <w:sz w:val="30"/>
          <w:szCs w:val="30"/>
        </w:rPr>
        <w:t>Участниками Форума принято решение довести текст документа до сведения органов федеральной государственной власти и управления, органов власти и управления субъектов Российской Федерации, муниципальных образований.</w:t>
      </w:r>
    </w:p>
    <w:sectPr w:rsidR="00A321DE" w:rsidRPr="00815172" w:rsidSect="00EF3F6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D21C1" w14:textId="77777777" w:rsidR="004A0BB7" w:rsidRDefault="004A0BB7" w:rsidP="00EF3F68">
      <w:pPr>
        <w:spacing w:after="0" w:line="240" w:lineRule="auto"/>
      </w:pPr>
      <w:r>
        <w:separator/>
      </w:r>
    </w:p>
  </w:endnote>
  <w:endnote w:type="continuationSeparator" w:id="0">
    <w:p w14:paraId="6A6CB3D9" w14:textId="77777777" w:rsidR="004A0BB7" w:rsidRDefault="004A0BB7" w:rsidP="00EF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358A8" w14:textId="77777777" w:rsidR="004A0BB7" w:rsidRDefault="004A0BB7" w:rsidP="00EF3F68">
      <w:pPr>
        <w:spacing w:after="0" w:line="240" w:lineRule="auto"/>
      </w:pPr>
      <w:r>
        <w:separator/>
      </w:r>
    </w:p>
  </w:footnote>
  <w:footnote w:type="continuationSeparator" w:id="0">
    <w:p w14:paraId="1F87DEE1" w14:textId="77777777" w:rsidR="004A0BB7" w:rsidRDefault="004A0BB7" w:rsidP="00EF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D1A2" w14:textId="77777777" w:rsidR="00EF3F68" w:rsidRDefault="00EF3F68" w:rsidP="00EF3F68">
    <w:pPr>
      <w:pStyle w:val="a5"/>
    </w:pPr>
    <w:r>
      <w:rPr>
        <w:noProof/>
      </w:rPr>
      <w:drawing>
        <wp:inline distT="0" distB="0" distL="0" distR="0" wp14:anchorId="4558E2D5" wp14:editId="7E02DAF2">
          <wp:extent cx="5918887" cy="15640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3577" cy="1586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1E4B3" w14:textId="77777777" w:rsidR="00EF3F68" w:rsidRDefault="00EF3F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27C0D"/>
    <w:multiLevelType w:val="hybridMultilevel"/>
    <w:tmpl w:val="01B616BE"/>
    <w:lvl w:ilvl="0" w:tplc="39028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76"/>
    <w:rsid w:val="00083837"/>
    <w:rsid w:val="00083BD6"/>
    <w:rsid w:val="000B64F6"/>
    <w:rsid w:val="000F3576"/>
    <w:rsid w:val="00137A2D"/>
    <w:rsid w:val="00200ECB"/>
    <w:rsid w:val="002038D5"/>
    <w:rsid w:val="00212D0A"/>
    <w:rsid w:val="00254668"/>
    <w:rsid w:val="00276F3A"/>
    <w:rsid w:val="00342B31"/>
    <w:rsid w:val="00363F76"/>
    <w:rsid w:val="003B01F8"/>
    <w:rsid w:val="00433E3A"/>
    <w:rsid w:val="004707A8"/>
    <w:rsid w:val="004A0BB7"/>
    <w:rsid w:val="004C12BE"/>
    <w:rsid w:val="004F05B9"/>
    <w:rsid w:val="0051582A"/>
    <w:rsid w:val="00570755"/>
    <w:rsid w:val="005711D3"/>
    <w:rsid w:val="00571F3B"/>
    <w:rsid w:val="005A64C6"/>
    <w:rsid w:val="005C60AC"/>
    <w:rsid w:val="005F424D"/>
    <w:rsid w:val="00601888"/>
    <w:rsid w:val="006020E4"/>
    <w:rsid w:val="006042DE"/>
    <w:rsid w:val="00655347"/>
    <w:rsid w:val="00676692"/>
    <w:rsid w:val="006927EE"/>
    <w:rsid w:val="0070114B"/>
    <w:rsid w:val="00702998"/>
    <w:rsid w:val="00740FC7"/>
    <w:rsid w:val="0075620F"/>
    <w:rsid w:val="00764551"/>
    <w:rsid w:val="00813549"/>
    <w:rsid w:val="00815172"/>
    <w:rsid w:val="00841744"/>
    <w:rsid w:val="008422B6"/>
    <w:rsid w:val="008B1E87"/>
    <w:rsid w:val="008C033C"/>
    <w:rsid w:val="008C6F58"/>
    <w:rsid w:val="008D1141"/>
    <w:rsid w:val="008D2136"/>
    <w:rsid w:val="009514DC"/>
    <w:rsid w:val="009B26B9"/>
    <w:rsid w:val="00A321DE"/>
    <w:rsid w:val="00A371F6"/>
    <w:rsid w:val="00A85D9B"/>
    <w:rsid w:val="00C67645"/>
    <w:rsid w:val="00CA0AD7"/>
    <w:rsid w:val="00DE7474"/>
    <w:rsid w:val="00E87BDD"/>
    <w:rsid w:val="00ED3786"/>
    <w:rsid w:val="00EF3F68"/>
    <w:rsid w:val="00F052BC"/>
    <w:rsid w:val="00F6086E"/>
    <w:rsid w:val="00F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0ED4"/>
  <w15:docId w15:val="{E29BA513-D379-4995-B6D4-731F9A5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6086E"/>
    <w:rPr>
      <w:rFonts w:ascii="Arial" w:hAnsi="Arial"/>
      <w:b/>
      <w:sz w:val="18"/>
    </w:rPr>
  </w:style>
  <w:style w:type="paragraph" w:customStyle="1" w:styleId="a3">
    <w:name w:val="Базовый"/>
    <w:rsid w:val="00F6086E"/>
    <w:pPr>
      <w:suppressAutoHyphens/>
    </w:pPr>
    <w:rPr>
      <w:rFonts w:ascii="Times New Roman" w:eastAsia="SimSun" w:hAnsi="Times New Roman" w:cs="Cambria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7029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F68"/>
  </w:style>
  <w:style w:type="paragraph" w:styleId="a7">
    <w:name w:val="footer"/>
    <w:basedOn w:val="a"/>
    <w:link w:val="a8"/>
    <w:uiPriority w:val="99"/>
    <w:unhideWhenUsed/>
    <w:rsid w:val="00EF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2020-09-28T13:01:00Z</cp:lastPrinted>
  <dcterms:created xsi:type="dcterms:W3CDTF">2020-09-28T13:23:00Z</dcterms:created>
  <dcterms:modified xsi:type="dcterms:W3CDTF">2020-09-28T13:23:00Z</dcterms:modified>
</cp:coreProperties>
</file>